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t xml:space="preserve">Chapter 2: What Does Culture Do?</w:t>
      </w:r>
    </w:p>
    <w:p>
      <w:pPr>
        <w:pStyle w:val="Heading2"/>
        <w:spacing w:after="100" w:before="200"/>
      </w:pPr>
      <w:r>
        <w:t xml:space="preserve">Culture-as-System: A Practitioner's Framework for Cross-Cultural Intelligence</w:t>
      </w:r>
    </w:p>
    <w:p>
      <w:pPr>
        <w:pStyle w:val="Heading3"/>
        <w:spacing w:after="80" w:before="160"/>
      </w:pPr>
      <w:r>
        <w:t xml:space="preserve">What You Will Learn in This Chapter</w:t>
      </w:r>
    </w:p>
    <w:p>
      <w:pPr>
        <w:spacing w:after="100" w:before="100"/>
      </w:pPr>
      <w:r>
        <w:t xml:space="preserve">Chapter 1 established what culture is: a historically formed, adaptive system of shared and contested meanings that enables social coordination. But a definition is only a starting point. The question that matters for practitioners is what culture does—how it coordinates action, how it fails, and how it manages the structural tensions that every coordination system must face.</w:t>
      </w:r>
    </w:p>
    <w:p>
      <w:pPr>
        <w:spacing w:after="100" w:before="100"/>
      </w:pPr>
      <w:r>
        <w:t xml:space="preserve">This chapter moves from definition to operation. It:</w:t>
      </w:r>
    </w:p>
    <w:p>
      <w:pPr>
        <w:spacing w:after="100" w:before="100"/>
      </w:pPr>
      <w:r>
        <w:t xml:space="preserve">1. Identifies the seven core coordination functions that culture stabilizes.</w:t>
      </w:r>
    </w:p>
    <w:p>
      <w:pPr>
        <w:spacing w:after="100" w:before="100"/>
      </w:pPr>
      <w:r>
        <w:t xml:space="preserve">2. Shows how coordination failure exposes these hidden structures through eight diagnostic failure signatures.</w:t>
      </w:r>
    </w:p>
    <w:p>
      <w:pPr>
        <w:spacing w:after="100" w:before="100"/>
      </w:pPr>
      <w:r>
        <w:t xml:space="preserve">3. Details the hidden energy requirements (cognitive, social, and institutional maintenance costs) that sustain coordination patterns.</w:t>
      </w:r>
    </w:p>
    <w:p>
      <w:pPr>
        <w:spacing w:after="100" w:before="100"/>
      </w:pPr>
      <w:r>
        <w:t xml:space="preserve">4. Outlines the five forms of agency actors use to navigate or modify failing structures.</w:t>
      </w:r>
    </w:p>
    <w:p>
      <w:pPr>
        <w:spacing w:after="100" w:before="100"/>
      </w:pPr>
      <w:r>
        <w:t xml:space="preserve">5. Demonstrates the six structural trade-offs that adapt coordination to specific constraint environments.</w:t>
      </w:r>
    </w:p>
    <w:p>
      <w:pPr>
        <w:spacing w:after="100" w:before="100"/>
      </w:pPr>
      <w:r>
        <w:t xml:space="preserve">6. Maps manifestations across three layers of depth to read them as diagnostic signals rather than descriptions.</w:t>
      </w:r>
    </w:p>
    <w:p>
      <w:pPr>
        <w:spacing w:after="100" w:before="100"/>
      </w:pPr>
      <w:r>
        <w:t xml:space="preserve">---</w:t>
      </w:r>
    </w:p>
    <w:p>
      <w:pPr>
        <w:pStyle w:val="Heading3"/>
        <w:spacing w:after="80" w:before="160"/>
      </w:pPr>
      <w:r>
        <w:t xml:space="preserve">Where We Are in the Culture-as-System Framework</w:t>
      </w:r>
    </w:p>
    <w:p>
      <w:pPr>
        <w:pBdr>
          <w:left w:val="single" w:color="C94A29" w:sz="24" w:space="12"/>
        </w:pBdr>
        <w:spacing w:after="180" w:before="180"/>
        <w:ind w:left="720"/>
      </w:pPr>
      <w:r>
        <w:rPr>
          <w:b/>
          <w:bCs/>
        </w:rPr>
        <w:t xml:space="preserve">Part I: Foundations</w:t>
      </w:r>
      <w:r>
        <w:t xml:space="preserve">
* </w:t>
      </w:r>
      <w:r>
        <w:rPr>
          <w:b/>
          <w:bCs/>
        </w:rPr>
        <w:t xml:space="preserve">Chapter 1</w:t>
      </w:r>
      <w:r>
        <w:t xml:space="preserve">: What culture is — The Ontological Foundation
* </w:t>
      </w:r>
      <w:r>
        <w:rPr>
          <w:b/>
          <w:bCs/>
        </w:rPr>
        <w:t xml:space="preserve">Chapter 2</w:t>
      </w:r>
      <w:r>
        <w:t xml:space="preserve">: What culture does — The Operational Architecture
* </w:t>
      </w:r>
      <w:r>
        <w:rPr>
          <w:b/>
          <w:bCs/>
        </w:rPr>
        <w:t xml:space="preserve">Chapter 3</w:t>
      </w:r>
      <w:r>
        <w:t xml:space="preserve">: How culture stabilizes — The Historical &amp; Adaptive Logic (Next)
* </w:t>
      </w:r>
      <w:r>
        <w:rPr>
          <w:b/>
          <w:bCs/>
        </w:rPr>
        <w:t xml:space="preserve">Chapter 4</w:t>
      </w:r>
      <w:r>
        <w:t xml:space="preserve">: How culture transforms — The Dynamics of Change (Follows)</w:t>
      </w:r>
    </w:p>
    <w:p>
      <w:pPr>
        <w:shd w:fill="F4F4F4"/>
        <w:spacing w:after="120" w:before="120"/>
        <w:ind w:left="360"/>
      </w:pPr>
      <w:r>
        <w:rPr>
          <w:rFonts w:ascii="Courier New" w:cs="Courier New" w:eastAsia="Courier New" w:hAnsi="Courier New"/>
          <w:sz w:val="18"/>
          <w:szCs w:val="18"/>
        </w:rPr>
        <w:t xml:space="preserve">[Coordination Functions] ──&gt; [Failure Signatures] ──&gt; [Maintenance Costs &amp; Trade-offs] ──&gt; [Manifestations as Signals] ──&gt; [Functional Diagnosis]</w:t>
      </w:r>
    </w:p>
    <w:p>
      <w:pPr>
        <w:spacing w:after="100" w:before="100"/>
      </w:pPr>
      <w:r>
        <w:t xml:space="preserve">*Figure 2.1 — Chapter 2 Operational Sequence*</w:t>
      </w:r>
    </w:p>
    <w:p>
      <w:pPr>
        <w:spacing w:after="100" w:before="100"/>
      </w:pPr>
      <w:r>
        <w:t xml:space="preserve">---</w:t>
      </w:r>
    </w:p>
    <w:p>
      <w:pPr>
        <w:pStyle w:val="Heading3"/>
        <w:spacing w:after="80" w:before="160"/>
      </w:pPr>
      <w:r>
        <w:t xml:space="preserve">2.1 The Core Work Culture Performs</w:t>
      </w:r>
    </w:p>
    <w:p>
      <w:pPr>
        <w:spacing w:after="100" w:before="100"/>
      </w:pPr>
      <w:r>
        <w:t xml:space="preserve">If culture is coordination infrastructure, its value lies not in what it describes, but in what it makes possible. Culture must explain how people who do not know each other well, do not trust each other fully, and do not share identical interests can still act together stably. It organizes action and makes expectations reliable without continuous central control.</w:t>
      </w:r>
    </w:p>
    <w:p>
      <w:pPr>
        <w:spacing w:after="100" w:before="100"/>
      </w:pPr>
      <w:r>
        <w:t xml:space="preserve">This section identifies seven core coordination functions that culture performs. These functions are not independent processes but inseparable aspects of one operational system.</w:t>
      </w:r>
    </w:p>
    <w:p>
      <w:pPr>
        <w:pStyle w:val="Heading4"/>
        <w:spacing w:after="60" w:before="120"/>
      </w:pPr>
      <w:r>
        <w:t xml:space="preserve">Table 2.1 — The Seven Coordination Functions of Culture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33.333333333333336%"/>
            <w:shd w:fill="C94A29"/>
          </w:tcPr>
          <w:p>
            <w:pPr>
              <w:spacing w:after="100" w:before="100"/>
            </w:pPr>
            <w:r>
              <w:rPr>
                <w:b/>
                <w:bCs/>
                <w:color w:val="FFFFFF"/>
              </w:rPr>
              <w:t xml:space="preserve">Function</w:t>
            </w:r>
          </w:p>
        </w:tc>
        <w:tc>
          <w:tcPr>
            <w:tcW w:type="pct" w:w="33.333333333333336%"/>
            <w:shd w:fill="C94A29"/>
          </w:tcPr>
          <w:p>
            <w:pPr>
              <w:spacing w:after="100" w:before="100"/>
            </w:pPr>
            <w:r>
              <w:rPr>
                <w:b/>
                <w:bCs/>
                <w:color w:val="FFFFFF"/>
              </w:rPr>
              <w:t xml:space="preserve">What Culture Stabilizes</w:t>
            </w:r>
          </w:p>
        </w:tc>
        <w:tc>
          <w:tcPr>
            <w:tcW w:type="pct" w:w="33.333333333333336%"/>
            <w:shd w:fill="C94A29"/>
          </w:tcPr>
          <w:p>
            <w:pPr>
              <w:spacing w:after="100" w:before="100"/>
            </w:pPr>
            <w:r>
              <w:rPr>
                <w:b/>
                <w:bCs/>
                <w:color w:val="FFFFFF"/>
              </w:rPr>
              <w:t xml:space="preserve">Practitioner Warning Sign</w:t>
            </w:r>
          </w:p>
        </w:tc>
      </w:tr>
      <w:tr>
        <w:tc>
          <w:tcPr>
            <w:tcW w:type="pct" w:w="33.333333333333336%"/>
            <w:shd w:fill="FFFFFF"/>
          </w:tcPr>
          <w:p>
            <w:pPr>
              <w:spacing w:after="100" w:before="100"/>
            </w:pPr>
            <w:r>
              <w:rPr>
                <w:b w:val="false"/>
                <w:bCs w:val="false"/>
                <w:color w:val="000000"/>
              </w:rPr>
              <w:t xml:space="preserve">**Expectation Alignment**</w:t>
            </w:r>
          </w:p>
        </w:tc>
        <w:tc>
          <w:tcPr>
            <w:tcW w:type="pct" w:w="33.333333333333336%"/>
            <w:shd w:fill="FFFFFF"/>
          </w:tcPr>
          <w:p>
            <w:pPr>
              <w:spacing w:after="100" w:before="100"/>
            </w:pPr>
            <w:r>
              <w:rPr>
                <w:b w:val="false"/>
                <w:bCs w:val="false"/>
                <w:color w:val="000000"/>
              </w:rPr>
              <w:t xml:space="preserve">What people assume will happen next</w:t>
            </w:r>
          </w:p>
        </w:tc>
        <w:tc>
          <w:tcPr>
            <w:tcW w:type="pct" w:w="33.333333333333336%"/>
            <w:shd w:fill="FFFFFF"/>
          </w:tcPr>
          <w:p>
            <w:pPr>
              <w:spacing w:after="100" w:before="100"/>
            </w:pPr>
            <w:r>
              <w:rPr>
                <w:b w:val="false"/>
                <w:bCs w:val="false"/>
                <w:color w:val="000000"/>
              </w:rPr>
              <w:t xml:space="preserve">Verbal agreement followed by divergent action</w:t>
            </w:r>
          </w:p>
        </w:tc>
      </w:tr>
      <w:tr>
        <w:tc>
          <w:tcPr>
            <w:tcW w:type="pct" w:w="33.333333333333336%"/>
            <w:shd w:fill="F9F9F9"/>
          </w:tcPr>
          <w:p>
            <w:pPr>
              <w:spacing w:after="100" w:before="100"/>
            </w:pPr>
            <w:r>
              <w:rPr>
                <w:b w:val="false"/>
                <w:bCs w:val="false"/>
                <w:color w:val="000000"/>
              </w:rPr>
              <w:t xml:space="preserve">**Role Predictability**</w:t>
            </w:r>
          </w:p>
        </w:tc>
        <w:tc>
          <w:tcPr>
            <w:tcW w:type="pct" w:w="33.333333333333336%"/>
            <w:shd w:fill="F9F9F9"/>
          </w:tcPr>
          <w:p>
            <w:pPr>
              <w:spacing w:after="100" w:before="100"/>
            </w:pPr>
            <w:r>
              <w:rPr>
                <w:b w:val="false"/>
                <w:bCs w:val="false"/>
                <w:color w:val="000000"/>
              </w:rPr>
              <w:t xml:space="preserve">Who decides, advises, executes, and absorbs risk</w:t>
            </w:r>
          </w:p>
        </w:tc>
        <w:tc>
          <w:tcPr>
            <w:tcW w:type="pct" w:w="33.333333333333336%"/>
            <w:shd w:fill="F9F9F9"/>
          </w:tcPr>
          <w:p>
            <w:pPr>
              <w:spacing w:after="100" w:before="100"/>
            </w:pPr>
            <w:r>
              <w:rPr>
                <w:b w:val="false"/>
                <w:bCs w:val="false"/>
                <w:color w:val="000000"/>
              </w:rPr>
              <w:t xml:space="preserve">Formally defined titles but unclear authority lines</w:t>
            </w:r>
          </w:p>
        </w:tc>
      </w:tr>
      <w:tr>
        <w:tc>
          <w:tcPr>
            <w:tcW w:type="pct" w:w="33.333333333333336%"/>
            <w:shd w:fill="FFFFFF"/>
          </w:tcPr>
          <w:p>
            <w:pPr>
              <w:spacing w:after="100" w:before="100"/>
            </w:pPr>
            <w:r>
              <w:rPr>
                <w:b w:val="false"/>
                <w:bCs w:val="false"/>
                <w:color w:val="000000"/>
              </w:rPr>
              <w:t xml:space="preserve">**Legitimacy Production**</w:t>
            </w:r>
          </w:p>
        </w:tc>
        <w:tc>
          <w:tcPr>
            <w:tcW w:type="pct" w:w="33.333333333333336%"/>
            <w:shd w:fill="FFFFFF"/>
          </w:tcPr>
          <w:p>
            <w:pPr>
              <w:spacing w:after="100" w:before="100"/>
            </w:pPr>
            <w:r>
              <w:rPr>
                <w:b w:val="false"/>
                <w:bCs w:val="false"/>
                <w:color w:val="000000"/>
              </w:rPr>
              <w:t xml:space="preserve">Why authority and rules feel rightful</w:t>
            </w:r>
          </w:p>
        </w:tc>
        <w:tc>
          <w:tcPr>
            <w:tcW w:type="pct" w:w="33.333333333333336%"/>
            <w:shd w:fill="FFFFFF"/>
          </w:tcPr>
          <w:p>
            <w:pPr>
              <w:spacing w:after="100" w:before="100"/>
            </w:pPr>
            <w:r>
              <w:rPr>
                <w:b w:val="false"/>
                <w:bCs w:val="false"/>
                <w:color w:val="000000"/>
              </w:rPr>
              <w:t xml:space="preserve">Compliance is performative and requires high monitoring</w:t>
            </w:r>
          </w:p>
        </w:tc>
      </w:tr>
      <w:tr>
        <w:tc>
          <w:tcPr>
            <w:tcW w:type="pct" w:w="33.333333333333336%"/>
            <w:shd w:fill="F9F9F9"/>
          </w:tcPr>
          <w:p>
            <w:pPr>
              <w:spacing w:after="100" w:before="100"/>
            </w:pPr>
            <w:r>
              <w:rPr>
                <w:b w:val="false"/>
                <w:bCs w:val="false"/>
                <w:color w:val="000000"/>
              </w:rPr>
              <w:t xml:space="preserve">**Trust Calibration**</w:t>
            </w:r>
          </w:p>
        </w:tc>
        <w:tc>
          <w:tcPr>
            <w:tcW w:type="pct" w:w="33.333333333333336%"/>
            <w:shd w:fill="F9F9F9"/>
          </w:tcPr>
          <w:p>
            <w:pPr>
              <w:spacing w:after="100" w:before="100"/>
            </w:pPr>
            <w:r>
              <w:rPr>
                <w:b w:val="false"/>
                <w:bCs w:val="false"/>
                <w:color w:val="000000"/>
              </w:rPr>
              <w:t xml:space="preserve">How risk-taking becomes socially acceptable</w:t>
            </w:r>
          </w:p>
        </w:tc>
        <w:tc>
          <w:tcPr>
            <w:tcW w:type="pct" w:w="33.333333333333336%"/>
            <w:shd w:fill="F9F9F9"/>
          </w:tcPr>
          <w:p>
            <w:pPr>
              <w:spacing w:after="100" w:before="100"/>
            </w:pPr>
            <w:r>
              <w:rPr>
                <w:b w:val="false"/>
                <w:bCs w:val="false"/>
                <w:color w:val="000000"/>
              </w:rPr>
              <w:t xml:space="preserve">Formal controls and surveillance replace voluntary cooperation</w:t>
            </w:r>
          </w:p>
        </w:tc>
      </w:tr>
      <w:tr>
        <w:tc>
          <w:tcPr>
            <w:tcW w:type="pct" w:w="33.333333333333336%"/>
            <w:shd w:fill="FFFFFF"/>
          </w:tcPr>
          <w:p>
            <w:pPr>
              <w:spacing w:after="100" w:before="100"/>
            </w:pPr>
            <w:r>
              <w:rPr>
                <w:b w:val="false"/>
                <w:bCs w:val="false"/>
                <w:color w:val="000000"/>
              </w:rPr>
              <w:t xml:space="preserve">**Meaning-Action Linkage**</w:t>
            </w:r>
          </w:p>
        </w:tc>
        <w:tc>
          <w:tcPr>
            <w:tcW w:type="pct" w:w="33.333333333333336%"/>
            <w:shd w:fill="FFFFFF"/>
          </w:tcPr>
          <w:p>
            <w:pPr>
              <w:spacing w:after="100" w:before="100"/>
            </w:pPr>
            <w:r>
              <w:rPr>
                <w:b w:val="false"/>
                <w:bCs w:val="false"/>
                <w:color w:val="000000"/>
              </w:rPr>
              <w:t xml:space="preserve">Which interpretations trigger which actions</w:t>
            </w:r>
          </w:p>
        </w:tc>
        <w:tc>
          <w:tcPr>
            <w:tcW w:type="pct" w:w="33.333333333333336%"/>
            <w:shd w:fill="FFFFFF"/>
          </w:tcPr>
          <w:p>
            <w:pPr>
              <w:spacing w:after="100" w:before="100"/>
            </w:pPr>
            <w:r>
              <w:rPr>
                <w:b w:val="false"/>
                <w:bCs w:val="false"/>
                <w:color w:val="000000"/>
              </w:rPr>
              <w:t xml:space="preserve">Values are loudly espoused but systematically bypassed</w:t>
            </w:r>
          </w:p>
        </w:tc>
      </w:tr>
      <w:tr>
        <w:tc>
          <w:tcPr>
            <w:tcW w:type="pct" w:w="33.333333333333336%"/>
            <w:shd w:fill="F9F9F9"/>
          </w:tcPr>
          <w:p>
            <w:pPr>
              <w:spacing w:after="100" w:before="100"/>
            </w:pPr>
            <w:r>
              <w:rPr>
                <w:b w:val="false"/>
                <w:bCs w:val="false"/>
                <w:color w:val="000000"/>
              </w:rPr>
              <w:t xml:space="preserve">**Conflict Channeling**</w:t>
            </w:r>
          </w:p>
        </w:tc>
        <w:tc>
          <w:tcPr>
            <w:tcW w:type="pct" w:w="33.333333333333336%"/>
            <w:shd w:fill="F9F9F9"/>
          </w:tcPr>
          <w:p>
            <w:pPr>
              <w:spacing w:after="100" w:before="100"/>
            </w:pPr>
            <w:r>
              <w:rPr>
                <w:b w:val="false"/>
                <w:bCs w:val="false"/>
                <w:color w:val="000000"/>
              </w:rPr>
              <w:t xml:space="preserve">How disagreement remains governable</w:t>
            </w:r>
          </w:p>
        </w:tc>
        <w:tc>
          <w:tcPr>
            <w:tcW w:type="pct" w:w="33.333333333333336%"/>
            <w:shd w:fill="F9F9F9"/>
          </w:tcPr>
          <w:p>
            <w:pPr>
              <w:spacing w:after="100" w:before="100"/>
            </w:pPr>
            <w:r>
              <w:rPr>
                <w:b w:val="false"/>
                <w:bCs w:val="false"/>
                <w:color w:val="000000"/>
              </w:rPr>
              <w:t xml:space="preserve">Conflict moves underground into passive resistance</w:t>
            </w:r>
          </w:p>
        </w:tc>
      </w:tr>
      <w:tr>
        <w:tc>
          <w:tcPr>
            <w:tcW w:type="pct" w:w="33.333333333333336%"/>
            <w:shd w:fill="FFFFFF"/>
          </w:tcPr>
          <w:p>
            <w:pPr>
              <w:spacing w:after="100" w:before="100"/>
            </w:pPr>
            <w:r>
              <w:rPr>
                <w:b w:val="false"/>
                <w:bCs w:val="false"/>
                <w:color w:val="000000"/>
              </w:rPr>
              <w:t xml:space="preserve">**Continuity Transmission**</w:t>
            </w:r>
          </w:p>
        </w:tc>
        <w:tc>
          <w:tcPr>
            <w:tcW w:type="pct" w:w="33.333333333333336%"/>
            <w:shd w:fill="FFFFFF"/>
          </w:tcPr>
          <w:p>
            <w:pPr>
              <w:spacing w:after="100" w:before="100"/>
            </w:pPr>
            <w:r>
              <w:rPr>
                <w:b w:val="false"/>
                <w:bCs w:val="false"/>
                <w:color w:val="000000"/>
              </w:rPr>
              <w:t xml:space="preserve">How coordination patterns survive turnover</w:t>
            </w:r>
          </w:p>
        </w:tc>
        <w:tc>
          <w:tcPr>
            <w:tcW w:type="pct" w:w="33.333333333333336%"/>
            <w:shd w:fill="FFFFFF"/>
          </w:tcPr>
          <w:p>
            <w:pPr>
              <w:spacing w:after="100" w:before="100"/>
            </w:pPr>
            <w:r>
              <w:rPr>
                <w:b w:val="false"/>
                <w:bCs w:val="false"/>
                <w:color w:val="000000"/>
              </w:rPr>
              <w:t xml:space="preserve">New leadership cannot shift unwritten operational protocols</w:t>
            </w:r>
          </w:p>
        </w:tc>
      </w:tr>
    </w:tbl>
    <w:p>
      <w:pPr>
        <w:pStyle w:val="Heading4"/>
        <w:spacing w:after="60" w:before="120"/>
      </w:pPr>
      <w:r>
        <w:t xml:space="preserve">Making Action Possible Without Constant Agreement</w:t>
      </w:r>
    </w:p>
    <w:p>
      <w:pPr>
        <w:spacing w:after="100" w:before="100"/>
      </w:pPr>
      <w:r>
        <w:t xml:space="preserve">Everyday cooperation depends on the assumption that others will interpret situations roughly as we do. When you enter a meeting or send a contract, you expect certain behaviors to occur and others to be excluded. You expect a response within weeks, not months; you expect accountability to be assigned to individuals, teams, or managers. None of this requires explicit negotiation. Without this alignment, every interaction would begin from zero. Culture performs its first essential task here: it makes action possible by aligning expectations in advance.</w:t>
      </w:r>
    </w:p>
    <w:p>
      <w:pPr>
        <w:pStyle w:val="Heading4"/>
        <w:spacing w:after="60" w:before="120"/>
      </w:pPr>
      <w:r>
        <w:t xml:space="preserve">Why Coordination Transcends Communication</w:t>
      </w:r>
    </w:p>
    <w:p>
      <w:pPr>
        <w:spacing w:after="100" w:before="100"/>
      </w:pPr>
      <w:r>
        <w:t xml:space="preserve">Coordination is not simply about clear communication. Two people can understand each other perfectly and still fail to act together because they hold incompatible expectations about how action should unfold.</w:t>
      </w:r>
    </w:p>
    <w:p>
      <w:pPr>
        <w:spacing w:after="100" w:before="100"/>
      </w:pPr>
      <w:r>
        <w:t xml:space="preserve">Consider two managers agreeing that a project is "urgent." A German manager interprets "urgent" as requiring immediate resource allocation, explicit documentation of the approach, and daily progress reports to enforce individual accountability. A Brazilian manager interprets it as requiring immediate relationship-building, flexible adaptation, and trust that the team will handle obstacles without administrative overhead. Both understand the word, but what the term triggers in their respective systems differs. The conflict is not semantic; it is structural. Perfect translation leaves these coordination patterns untouched.</w:t>
      </w:r>
    </w:p>
    <w:p>
      <w:pPr>
        <w:pStyle w:val="Heading4"/>
        <w:spacing w:after="60" w:before="120"/>
      </w:pPr>
      <w:r>
        <w:t xml:space="preserve">How Roles Become Predictable</w:t>
      </w:r>
    </w:p>
    <w:p>
      <w:pPr>
        <w:spacing w:after="100" w:before="100"/>
      </w:pPr>
      <w:r>
        <w:t xml:space="preserve">In any functioning system, people step into roles without constant explanation. These roles—who decides, advises, executes, and absorbs blame—are rarely written in full. They are learned through observation and correction (Schein, 2010).</w:t>
      </w:r>
    </w:p>
    <w:p>
      <w:pPr>
        <w:spacing w:after="100" w:before="100"/>
      </w:pPr>
      <w:r>
        <w:t xml:space="preserve">Culture stabilizes these role expectations. A German company and a Chinese company may both have a "Vice President of Operations" with identical formal descriptions. In the German context, the VP exercises authority through documented expertise and formal delegation. In the Chinese context, the VP operates through relationship networks, implicit alignment with senior leadership preferences, and collective accountability to protect face. Culture determines whether authority is exercised through command, persuasion, seniority, expertise, or moral standing.</w:t>
      </w:r>
    </w:p>
    <w:p>
      <w:pPr>
        <w:pStyle w:val="Heading4"/>
        <w:spacing w:after="60" w:before="120"/>
      </w:pPr>
      <w:r>
        <w:t xml:space="preserve">Why Legitimacy Matters More Than Control</w:t>
      </w:r>
    </w:p>
    <w:p>
      <w:pPr>
        <w:spacing w:after="100" w:before="100"/>
      </w:pPr>
      <w:r>
        <w:t xml:space="preserve">No institution survives through enforcement alone. Rules require legitimacy—the widespread belief that they are rightful or unavoidable. When people comply even when no one is watching, culture is operating.</w:t>
      </w:r>
    </w:p>
    <w:p>
      <w:pPr>
        <w:spacing w:after="100" w:before="100"/>
      </w:pPr>
      <w:r>
        <w:t xml:space="preserve">While legitimacy makes coordination efficient, it also stabilizes existing power structures. What a system defines as "rightful authority" is frequently the successful normalization of a dominant group's preferences—what Gramsci (1971) termed *hegemony*: power that no longer needs to use force because it has defined the "normal" way to coordinate. The dominant group's norms are so thoroughly internalized that compliance feels like common sense. Any analysis of a coordination system must therefore ask whose interests that legitimacy primarily protects.</w:t>
      </w:r>
    </w:p>
    <w:p>
      <w:pPr>
        <w:pStyle w:val="Heading4"/>
        <w:spacing w:after="60" w:before="120"/>
      </w:pPr>
      <w:r>
        <w:t xml:space="preserve">Enabling Cooperation Under Uncertainty</w:t>
      </w:r>
    </w:p>
    <w:p>
      <w:pPr>
        <w:spacing w:after="100" w:before="100"/>
      </w:pPr>
      <w:r>
        <w:t xml:space="preserve">Most cooperation takes place without complete information. We act anyway because culture provides structures for managing this uncertainty by defining how trust is formed, signaled, and repaired (Fukuyama, 1995).</w:t>
      </w:r>
    </w:p>
    <w:p>
      <w:pPr>
        <w:spacing w:after="100" w:before="100"/>
      </w:pPr>
      <w:r>
        <w:t xml:space="preserve">In German business culture, trust builds through formal compliance—deadlines met, commitments kept. In Chinese business culture, it builds through personal relationships developed over favors and long-term reciprocity. In American business culture, it builds through institutional credentials and professional reputation networks. A German manager expecting trust through documentation feels uncomfortable when Chinese partners prioritize relationship investment before contracts form. Trust is a systemic property emerging from shared norms about what constitutes reliable behavior (Sztompka, 1999), making risk-taking socially acceptable.</w:t>
      </w:r>
    </w:p>
    <w:p>
      <w:pPr>
        <w:pStyle w:val="Heading4"/>
        <w:spacing w:after="60" w:before="120"/>
      </w:pPr>
      <w:r>
        <w:t xml:space="preserve">How Meaning Becomes Actionable</w:t>
      </w:r>
    </w:p>
    <w:p>
      <w:pPr>
        <w:spacing w:after="100" w:before="100"/>
      </w:pPr>
      <w:r>
        <w:t xml:space="preserve">Culture does not only tell people what things mean; it tells them what meanings require action.</w:t>
      </w:r>
    </w:p>
    <w:p>
      <w:pPr>
        <w:spacing w:after="100" w:before="100"/>
      </w:pPr>
      <w:r>
        <w:t xml:space="preserve">If failure is interpreted as personal incompetence, people hide mistakes. If it is interpreted as learning, they report problems early. If loyalty means obedience, dissent becomes betrayal. If loyalty means responsibility, dissent becomes duty. These meanings govern actual behavior as "theories-in-use" rather than espoused values (Argyris &amp; Schön, 1978). If an organization claims to value innovation but its culture punishes mistakes, the espoused value produces no action.</w:t>
      </w:r>
    </w:p>
    <w:p>
      <w:pPr>
        <w:pStyle w:val="Heading4"/>
        <w:spacing w:after="60" w:before="120"/>
      </w:pPr>
      <w:r>
        <w:t xml:space="preserve">Making Conflict Manageable and Preserving Continuity</w:t>
      </w:r>
    </w:p>
    <w:p>
      <w:pPr>
        <w:spacing w:after="100" w:before="100"/>
      </w:pPr>
      <w:r>
        <w:t xml:space="preserve">Disagreement is unavoidable. Culture determines whether it destroys cooperation or becomes governable. Dutch business meetings feature direct debate and challenges to authority, understood as productive engagement. Japanese business contexts manage conflict through indirect question-framing and hesitation, preserving harmony while allowing adjustment. Both make conflict governable.</w:t>
      </w:r>
    </w:p>
    <w:p>
      <w:pPr>
        <w:spacing w:after="100" w:before="100"/>
      </w:pPr>
      <w:r>
        <w:t xml:space="preserve">Finally, organizations outlive individuals. Culture transmits coordination patterns across time. New members learn how things work by observing what is rewarded, ignored, and punished—a process of organizational embedding (Schein, 2010). The mechanisms through which this transmission stabilizes are examined in detail in Chapter 3.</w:t>
      </w:r>
    </w:p>
    <w:p>
      <w:pPr>
        <w:spacing w:after="100" w:before="100"/>
      </w:pPr>
      <w:r>
        <w:t xml:space="preserve">---</w:t>
      </w:r>
    </w:p>
    <w:p>
      <w:pPr>
        <w:pStyle w:val="Heading3"/>
        <w:spacing w:after="80" w:before="160"/>
      </w:pPr>
      <w:r>
        <w:t xml:space="preserve">2.2 When Coordination Breaks: Failure as Diagnostic Signal</w:t>
      </w:r>
    </w:p>
    <w:p>
      <w:pPr>
        <w:spacing w:after="100" w:before="100"/>
      </w:pPr>
      <w:r>
        <w:t xml:space="preserve">Culture is easiest to ignore when it works. Success hides coordination mechanisms behind smooth operation. Failure reverses this invisibility. When coordination breaks, culture becomes suddenly tangible. Failure is not a defect in culture; it is the signature of its structure.</w:t>
      </w:r>
    </w:p>
    <w:p>
      <w:pPr>
        <w:pStyle w:val="Heading4"/>
        <w:spacing w:after="60" w:before="120"/>
      </w:pPr>
      <w:r>
        <w:t xml:space="preserve">Table 2.2 — Failure Modes as Diagnostic Signals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33.333333333333336%"/>
            <w:shd w:fill="C94A29"/>
          </w:tcPr>
          <w:p>
            <w:pPr>
              <w:spacing w:after="100" w:before="100"/>
            </w:pPr>
            <w:r>
              <w:rPr>
                <w:b/>
                <w:bCs/>
                <w:color w:val="FFFFFF"/>
              </w:rPr>
              <w:t xml:space="preserve">Failure Mode</w:t>
            </w:r>
          </w:p>
        </w:tc>
        <w:tc>
          <w:tcPr>
            <w:tcW w:type="pct" w:w="33.333333333333336%"/>
            <w:shd w:fill="C94A29"/>
          </w:tcPr>
          <w:p>
            <w:pPr>
              <w:spacing w:after="100" w:before="100"/>
            </w:pPr>
            <w:r>
              <w:rPr>
                <w:b/>
                <w:bCs/>
                <w:color w:val="FFFFFF"/>
              </w:rPr>
              <w:t xml:space="preserve">What Becomes Visible</w:t>
            </w:r>
          </w:p>
        </w:tc>
        <w:tc>
          <w:tcPr>
            <w:tcW w:type="pct" w:w="33.333333333333336%"/>
            <w:shd w:fill="C94A29"/>
          </w:tcPr>
          <w:p>
            <w:pPr>
              <w:spacing w:after="100" w:before="100"/>
            </w:pPr>
            <w:r>
              <w:rPr>
                <w:b/>
                <w:bCs/>
                <w:color w:val="FFFFFF"/>
              </w:rPr>
              <w:t xml:space="preserve">Diagnostic Question</w:t>
            </w:r>
          </w:p>
        </w:tc>
      </w:tr>
      <w:tr>
        <w:tc>
          <w:tcPr>
            <w:tcW w:type="pct" w:w="33.333333333333336%"/>
            <w:shd w:fill="FFFFFF"/>
          </w:tcPr>
          <w:p>
            <w:pPr>
              <w:spacing w:after="100" w:before="100"/>
            </w:pPr>
            <w:r>
              <w:rPr>
                <w:b w:val="false"/>
                <w:bCs w:val="false"/>
                <w:color w:val="000000"/>
              </w:rPr>
              <w:t xml:space="preserve">**Agreement Without Action**</w:t>
            </w:r>
          </w:p>
        </w:tc>
        <w:tc>
          <w:tcPr>
            <w:tcW w:type="pct" w:w="33.333333333333336%"/>
            <w:shd w:fill="FFFFFF"/>
          </w:tcPr>
          <w:p>
            <w:pPr>
              <w:spacing w:after="100" w:before="100"/>
            </w:pPr>
            <w:r>
              <w:rPr>
                <w:b w:val="false"/>
                <w:bCs w:val="false"/>
                <w:color w:val="000000"/>
              </w:rPr>
              <w:t xml:space="preserve">Expectations are not operationally aligned</w:t>
            </w:r>
          </w:p>
        </w:tc>
        <w:tc>
          <w:tcPr>
            <w:tcW w:type="pct" w:w="33.333333333333336%"/>
            <w:shd w:fill="FFFFFF"/>
          </w:tcPr>
          <w:p>
            <w:pPr>
              <w:spacing w:after="100" w:before="100"/>
            </w:pPr>
            <w:r>
              <w:rPr>
                <w:b w:val="false"/>
                <w:bCs w:val="false"/>
                <w:color w:val="000000"/>
              </w:rPr>
              <w:t xml:space="preserve">What did each party assume "agreement" committed them to?</w:t>
            </w:r>
          </w:p>
        </w:tc>
      </w:tr>
      <w:tr>
        <w:tc>
          <w:tcPr>
            <w:tcW w:type="pct" w:w="33.333333333333336%"/>
            <w:shd w:fill="F9F9F9"/>
          </w:tcPr>
          <w:p>
            <w:pPr>
              <w:spacing w:after="100" w:before="100"/>
            </w:pPr>
            <w:r>
              <w:rPr>
                <w:b w:val="false"/>
                <w:bCs w:val="false"/>
                <w:color w:val="000000"/>
              </w:rPr>
              <w:t xml:space="preserve">**Authority Without Legitimacy**</w:t>
            </w:r>
          </w:p>
        </w:tc>
        <w:tc>
          <w:tcPr>
            <w:tcW w:type="pct" w:w="33.333333333333336%"/>
            <w:shd w:fill="F9F9F9"/>
          </w:tcPr>
          <w:p>
            <w:pPr>
              <w:spacing w:after="100" w:before="100"/>
            </w:pPr>
            <w:r>
              <w:rPr>
                <w:b w:val="false"/>
                <w:bCs w:val="false"/>
                <w:color w:val="000000"/>
              </w:rPr>
              <w:t xml:space="preserve">Compliance has become performative</w:t>
            </w:r>
          </w:p>
        </w:tc>
        <w:tc>
          <w:tcPr>
            <w:tcW w:type="pct" w:w="33.333333333333336%"/>
            <w:shd w:fill="F9F9F9"/>
          </w:tcPr>
          <w:p>
            <w:pPr>
              <w:spacing w:after="100" w:before="100"/>
            </w:pPr>
            <w:r>
              <w:rPr>
                <w:b w:val="false"/>
                <w:bCs w:val="false"/>
                <w:color w:val="000000"/>
              </w:rPr>
              <w:t xml:space="preserve">Why does formal power lack cultural reinforcement?</w:t>
            </w:r>
          </w:p>
        </w:tc>
      </w:tr>
      <w:tr>
        <w:tc>
          <w:tcPr>
            <w:tcW w:type="pct" w:w="33.333333333333336%"/>
            <w:shd w:fill="FFFFFF"/>
          </w:tcPr>
          <w:p>
            <w:pPr>
              <w:spacing w:after="100" w:before="100"/>
            </w:pPr>
            <w:r>
              <w:rPr>
                <w:b w:val="false"/>
                <w:bCs w:val="false"/>
                <w:color w:val="000000"/>
              </w:rPr>
              <w:t xml:space="preserve">**Trust Replaced by Surveillance**</w:t>
            </w:r>
          </w:p>
        </w:tc>
        <w:tc>
          <w:tcPr>
            <w:tcW w:type="pct" w:w="33.333333333333336%"/>
            <w:shd w:fill="FFFFFF"/>
          </w:tcPr>
          <w:p>
            <w:pPr>
              <w:spacing w:after="100" w:before="100"/>
            </w:pPr>
            <w:r>
              <w:rPr>
                <w:b w:val="false"/>
                <w:bCs w:val="false"/>
                <w:color w:val="000000"/>
              </w:rPr>
              <w:t xml:space="preserve">Risk is no longer socially acceptable</w:t>
            </w:r>
          </w:p>
        </w:tc>
        <w:tc>
          <w:tcPr>
            <w:tcW w:type="pct" w:w="33.333333333333336%"/>
            <w:shd w:fill="FFFFFF"/>
          </w:tcPr>
          <w:p>
            <w:pPr>
              <w:spacing w:after="100" w:before="100"/>
            </w:pPr>
            <w:r>
              <w:rPr>
                <w:b w:val="false"/>
                <w:bCs w:val="false"/>
                <w:color w:val="000000"/>
              </w:rPr>
              <w:t xml:space="preserve">What trust mechanism failed, and what are the overhead costs?</w:t>
            </w:r>
          </w:p>
        </w:tc>
      </w:tr>
      <w:tr>
        <w:tc>
          <w:tcPr>
            <w:tcW w:type="pct" w:w="33.333333333333336%"/>
            <w:shd w:fill="F9F9F9"/>
          </w:tcPr>
          <w:p>
            <w:pPr>
              <w:spacing w:after="100" w:before="100"/>
            </w:pPr>
            <w:r>
              <w:rPr>
                <w:b w:val="false"/>
                <w:bCs w:val="false"/>
                <w:color w:val="000000"/>
              </w:rPr>
              <w:t xml:space="preserve">**Meaning Detached from Reality**</w:t>
            </w:r>
          </w:p>
        </w:tc>
        <w:tc>
          <w:tcPr>
            <w:tcW w:type="pct" w:w="33.333333333333336%"/>
            <w:shd w:fill="F9F9F9"/>
          </w:tcPr>
          <w:p>
            <w:pPr>
              <w:spacing w:after="100" w:before="100"/>
            </w:pPr>
            <w:r>
              <w:rPr>
                <w:b w:val="false"/>
                <w:bCs w:val="false"/>
                <w:color w:val="000000"/>
              </w:rPr>
              <w:t xml:space="preserve">Official narratives no longer explain experience</w:t>
            </w:r>
          </w:p>
        </w:tc>
        <w:tc>
          <w:tcPr>
            <w:tcW w:type="pct" w:w="33.333333333333336%"/>
            <w:shd w:fill="F9F9F9"/>
          </w:tcPr>
          <w:p>
            <w:pPr>
              <w:spacing w:after="100" w:before="100"/>
            </w:pPr>
            <w:r>
              <w:rPr>
                <w:b w:val="false"/>
                <w:bCs w:val="false"/>
                <w:color w:val="000000"/>
              </w:rPr>
              <w:t xml:space="preserve">What explanation has lost credibility under stress?</w:t>
            </w:r>
          </w:p>
        </w:tc>
      </w:tr>
      <w:tr>
        <w:tc>
          <w:tcPr>
            <w:tcW w:type="pct" w:w="33.333333333333336%"/>
            <w:shd w:fill="FFFFFF"/>
          </w:tcPr>
          <w:p>
            <w:pPr>
              <w:spacing w:after="100" w:before="100"/>
            </w:pPr>
            <w:r>
              <w:rPr>
                <w:b w:val="false"/>
                <w:bCs w:val="false"/>
                <w:color w:val="000000"/>
              </w:rPr>
              <w:t xml:space="preserve">**Conflict Escaping Channels**</w:t>
            </w:r>
          </w:p>
        </w:tc>
        <w:tc>
          <w:tcPr>
            <w:tcW w:type="pct" w:w="33.333333333333336%"/>
            <w:shd w:fill="FFFFFF"/>
          </w:tcPr>
          <w:p>
            <w:pPr>
              <w:spacing w:after="100" w:before="100"/>
            </w:pPr>
            <w:r>
              <w:rPr>
                <w:b w:val="false"/>
                <w:bCs w:val="false"/>
                <w:color w:val="000000"/>
              </w:rPr>
              <w:t xml:space="preserve">Disagreement is no longer processed legitimately</w:t>
            </w:r>
          </w:p>
        </w:tc>
        <w:tc>
          <w:tcPr>
            <w:tcW w:type="pct" w:w="33.333333333333336%"/>
            <w:shd w:fill="FFFFFF"/>
          </w:tcPr>
          <w:p>
            <w:pPr>
              <w:spacing w:after="100" w:before="100"/>
            </w:pPr>
            <w:r>
              <w:rPr>
                <w:b w:val="false"/>
                <w:bCs w:val="false"/>
                <w:color w:val="000000"/>
              </w:rPr>
              <w:t xml:space="preserve">Where has conflict gone underground into passive resistance?</w:t>
            </w:r>
          </w:p>
        </w:tc>
      </w:tr>
      <w:tr>
        <w:tc>
          <w:tcPr>
            <w:tcW w:type="pct" w:w="33.333333333333336%"/>
            <w:shd w:fill="F9F9F9"/>
          </w:tcPr>
          <w:p>
            <w:pPr>
              <w:spacing w:after="100" w:before="100"/>
            </w:pPr>
            <w:r>
              <w:rPr>
                <w:b w:val="false"/>
                <w:bCs w:val="false"/>
                <w:color w:val="000000"/>
              </w:rPr>
              <w:t xml:space="preserve">**Subsystems Losing Translation**</w:t>
            </w:r>
          </w:p>
        </w:tc>
        <w:tc>
          <w:tcPr>
            <w:tcW w:type="pct" w:w="33.333333333333336%"/>
            <w:shd w:fill="F9F9F9"/>
          </w:tcPr>
          <w:p>
            <w:pPr>
              <w:spacing w:after="100" w:before="100"/>
            </w:pPr>
            <w:r>
              <w:rPr>
                <w:b w:val="false"/>
                <w:bCs w:val="false"/>
                <w:color w:val="000000"/>
              </w:rPr>
              <w:t xml:space="preserve">Local coordination systems cannot interpret each other</w:t>
            </w:r>
          </w:p>
        </w:tc>
        <w:tc>
          <w:tcPr>
            <w:tcW w:type="pct" w:w="33.333333333333336%"/>
            <w:shd w:fill="F9F9F9"/>
          </w:tcPr>
          <w:p>
            <w:pPr>
              <w:spacing w:after="100" w:before="100"/>
            </w:pPr>
            <w:r>
              <w:rPr>
                <w:b w:val="false"/>
                <w:bCs w:val="false"/>
                <w:color w:val="000000"/>
              </w:rPr>
              <w:t xml:space="preserve">Which terms mean different things across departments?</w:t>
            </w:r>
          </w:p>
        </w:tc>
      </w:tr>
      <w:tr>
        <w:tc>
          <w:tcPr>
            <w:tcW w:type="pct" w:w="33.333333333333336%"/>
            <w:shd w:fill="FFFFFF"/>
          </w:tcPr>
          <w:p>
            <w:pPr>
              <w:spacing w:after="100" w:before="100"/>
            </w:pPr>
            <w:r>
              <w:rPr>
                <w:b w:val="false"/>
                <w:bCs w:val="false"/>
                <w:color w:val="000000"/>
              </w:rPr>
              <w:t xml:space="preserve">**Continuity Becoming Rigidity**</w:t>
            </w:r>
          </w:p>
        </w:tc>
        <w:tc>
          <w:tcPr>
            <w:tcW w:type="pct" w:w="33.333333333333336%"/>
            <w:shd w:fill="FFFFFF"/>
          </w:tcPr>
          <w:p>
            <w:pPr>
              <w:spacing w:after="100" w:before="100"/>
            </w:pPr>
            <w:r>
              <w:rPr>
                <w:b w:val="false"/>
                <w:bCs w:val="false"/>
                <w:color w:val="000000"/>
              </w:rPr>
              <w:t xml:space="preserve">Inherited patterns block necessary adaptation</w:t>
            </w:r>
          </w:p>
        </w:tc>
        <w:tc>
          <w:tcPr>
            <w:tcW w:type="pct" w:w="33.333333333333336%"/>
            <w:shd w:fill="FFFFFF"/>
          </w:tcPr>
          <w:p>
            <w:pPr>
              <w:spacing w:after="100" w:before="100"/>
            </w:pPr>
            <w:r>
              <w:rPr>
                <w:b w:val="false"/>
                <w:bCs w:val="false"/>
                <w:color w:val="000000"/>
              </w:rPr>
              <w:t xml:space="preserve">Which past solution has become an active constraint?</w:t>
            </w:r>
          </w:p>
        </w:tc>
      </w:tr>
      <w:tr>
        <w:tc>
          <w:tcPr>
            <w:tcW w:type="pct" w:w="33.333333333333336%"/>
            <w:shd w:fill="F9F9F9"/>
          </w:tcPr>
          <w:p>
            <w:pPr>
              <w:spacing w:after="100" w:before="100"/>
            </w:pPr>
            <w:r>
              <w:rPr>
                <w:b w:val="false"/>
                <w:bCs w:val="false"/>
                <w:color w:val="000000"/>
              </w:rPr>
              <w:t xml:space="preserve">**Maintenance Overwhelming Value**</w:t>
            </w:r>
          </w:p>
        </w:tc>
        <w:tc>
          <w:tcPr>
            <w:tcW w:type="pct" w:w="33.333333333333336%"/>
            <w:shd w:fill="F9F9F9"/>
          </w:tcPr>
          <w:p>
            <w:pPr>
              <w:spacing w:after="100" w:before="100"/>
            </w:pPr>
            <w:r>
              <w:rPr>
                <w:b w:val="false"/>
                <w:bCs w:val="false"/>
                <w:color w:val="000000"/>
              </w:rPr>
              <w:t xml:space="preserve">Coordination overhead exceeds benefit</w:t>
            </w:r>
          </w:p>
        </w:tc>
        <w:tc>
          <w:tcPr>
            <w:tcW w:type="pct" w:w="33.333333333333336%"/>
            <w:shd w:fill="F9F9F9"/>
          </w:tcPr>
          <w:p>
            <w:pPr>
              <w:spacing w:after="100" w:before="100"/>
            </w:pPr>
            <w:r>
              <w:rPr>
                <w:b w:val="false"/>
                <w:bCs w:val="false"/>
                <w:color w:val="000000"/>
              </w:rPr>
              <w:t xml:space="preserve">Who is spending energy maintaining the system's administration?</w:t>
            </w:r>
          </w:p>
        </w:tc>
      </w:tr>
    </w:tbl>
    <w:p>
      <w:pPr>
        <w:pStyle w:val="Heading4"/>
        <w:spacing w:after="60" w:before="120"/>
      </w:pPr>
      <w:r>
        <w:t xml:space="preserve">1. Agreement Without Action</w:t>
      </w:r>
    </w:p>
    <w:p>
      <w:pPr>
        <w:spacing w:after="100" w:before="100"/>
      </w:pPr>
      <w:r>
        <w:t xml:space="preserve">When a Western pharmaceutical company acquired an Indian research lab and announced a shift to "agile development," the Indian scientists nodded agreement. Six months later, nothing had changed. The Indian leadership had agreed in concept but interpreted it through existing patterns: respect for hierarchy meant waiting for explicit permission, thoroughness meant documentation before action, and responsibility meant avoiding individual risk. The Western leadership interpreted "agile" as individual empowerment and rapid iteration. Everyone agreed to "agile," but the operational expectations never aligned.</w:t>
      </w:r>
    </w:p>
    <w:p>
      <w:pPr>
        <w:pStyle w:val="Heading4"/>
        <w:spacing w:after="60" w:before="120"/>
      </w:pPr>
      <w:r>
        <w:t xml:space="preserve">2. Authority Without Legitimacy</w:t>
      </w:r>
    </w:p>
    <w:p>
      <w:pPr>
        <w:spacing w:after="100" w:before="100"/>
      </w:pPr>
      <w:r>
        <w:t xml:space="preserve">When authority remains formally intact but no longer feels rightful, compliance becomes symbolic. In the early 2000s, several European universities implemented performance metrics for faculty (publication counts, citation indices). Rather than improving quality, faculty gamed the metrics: publishing minimum publishable units and citing each other strategically. They complied publicly while working around the system privately—employing "hidden transcripts" (Scott, 1990) to maintain their own coordination logic beneath formal compliance.</w:t>
      </w:r>
    </w:p>
    <w:p>
      <w:pPr>
        <w:pStyle w:val="Heading4"/>
        <w:spacing w:after="60" w:before="120"/>
      </w:pPr>
      <w:r>
        <w:t xml:space="preserve">3. Trust Replaced by Surveillance</w:t>
      </w:r>
    </w:p>
    <w:p>
      <w:pPr>
        <w:spacing w:after="100" w:before="100"/>
      </w:pPr>
      <w:r>
        <w:t xml:space="preserve">Trust failure accumulates through small, unresolved violations. After project delays, a software firm implemented keystroke logging and mandatory daily status reports. The surveillance signaled that trust had been replaced by control. Experienced developers stopped proposing innovative solutions, and team collaboration collapsed. The controls created a new cultural pattern: defensive self-protection instead of collaborative problem-solving.</w:t>
      </w:r>
    </w:p>
    <w:p>
      <w:pPr>
        <w:pStyle w:val="Heading4"/>
        <w:spacing w:after="60" w:before="120"/>
      </w:pPr>
      <w:r>
        <w:t xml:space="preserve">4. Meaning Detached from Reality</w:t>
      </w:r>
    </w:p>
    <w:p>
      <w:pPr>
        <w:spacing w:after="100" w:before="100"/>
      </w:pPr>
      <w:r>
        <w:t xml:space="preserve">Sense-making fails when shared narratives no longer match lived experience. During the 2008 financial crisis, banking leadership insisted "the models are sound" and "this is temporary volatility." The gap between official explanation and reality destroyed leadership's credibility. Employees repeated the official narratives to protect themselves, but the system had lost the capacity to orient action.</w:t>
      </w:r>
    </w:p>
    <w:p>
      <w:pPr>
        <w:pStyle w:val="Heading4"/>
        <w:spacing w:after="60" w:before="120"/>
      </w:pPr>
      <w:r>
        <w:t xml:space="preserve">5. Conflict Escaping Channels</w:t>
      </w:r>
    </w:p>
    <w:p>
      <w:pPr>
        <w:spacing w:after="100" w:before="100"/>
      </w:pPr>
      <w:r>
        <w:t xml:space="preserve">Failure occurs when conflict can no longer be expressed through accepted channels. In a healthcare system implementing cost-reductions, doctors whose formal concerns were dismissed stopped using official channels. Instead, they coordinated quiet resistance: ordering expensive tests that technically complied with protocols but maximized local department budgets. The channel had broken, and conflict moved underground.</w:t>
      </w:r>
    </w:p>
    <w:p>
      <w:pPr>
        <w:pStyle w:val="Heading4"/>
        <w:spacing w:after="60" w:before="120"/>
      </w:pPr>
      <w:r>
        <w:t xml:space="preserve">6. Subsystems Losing Translation</w:t>
      </w:r>
    </w:p>
    <w:p>
      <w:pPr>
        <w:spacing w:after="100" w:before="100"/>
      </w:pPr>
      <w:r>
        <w:t xml:space="preserve">Large organizations develop local coordination patterns that work locally but diverge globally. A technology company's legal department required exhaustive documentation to avoid risk, while the marketing team interpreted responsiveness as real-time social media engagement. What legal called "responsible risk management," marketing called "fear-based paralysis." The problem was not a disagreement about goals, but a loss of translation between subsystems.</w:t>
      </w:r>
    </w:p>
    <w:p>
      <w:pPr>
        <w:pStyle w:val="Heading4"/>
        <w:spacing w:after="60" w:before="120"/>
      </w:pPr>
      <w:r>
        <w:t xml:space="preserve">7. Continuity Becoming Rigidity</w:t>
      </w:r>
    </w:p>
    <w:p>
      <w:pPr>
        <w:spacing w:after="100" w:before="100"/>
      </w:pPr>
      <w:r>
        <w:t xml:space="preserve">Cultural memory preserves solutions that once worked, but preservation can block necessary adaptation. IBM's mainframe success in the 1970s created coordination patterns around long-term planning and hierarchy. When personal computers required rapid iteration, IBM's inherited patterns became active constraints. The rigidity that preserved excellence in mainframes prevented timely adaptation to PCs.</w:t>
      </w:r>
    </w:p>
    <w:p>
      <w:pPr>
        <w:pStyle w:val="Heading4"/>
        <w:spacing w:after="60" w:before="120"/>
      </w:pPr>
      <w:r>
        <w:t xml:space="preserve">8. Maintenance Costs Overwhelming Value</w:t>
      </w:r>
    </w:p>
    <w:p>
      <w:pPr>
        <w:spacing w:after="100" w:before="100"/>
      </w:pPr>
      <w:r>
        <w:t xml:space="preserve">Every coordination system requires energy. As systems grow, this administrative overhead can exceed the coordination benefit—a dynamic mirroring the diminishing marginal utility of complexity (Tainter, 1988). Large universities face this when new assessment requirements and compliance initiatives expand bureaucracy. Faculty spend increasing energy on committee meetings and process documentation, causing decision speed and core research output to collapse.</w:t>
      </w:r>
    </w:p>
    <w:p>
      <w:pPr>
        <w:pBdr>
          <w:left w:val="single" w:color="C94A29" w:sz="24" w:space="12"/>
        </w:pBdr>
        <w:spacing w:after="180" w:before="180"/>
        <w:ind w:left="720"/>
      </w:pPr>
      <w:r>
        <w:t xml:space="preserve">[!NOTE]
</w:t>
      </w:r>
      <w:r>
        <w:rPr>
          <w:b/>
          <w:bCs/>
        </w:rPr>
        <w:t xml:space="preserve">Practitioner Lens: Do Not Ask "What Is Their Culture?"</w:t>
      </w:r>
      <w:r>
        <w:t xml:space="preserve">
Instead, ask these diagnostic questions:
1. Which coordination function is failing?
2. What visible failure mode signature points to that function?
3. What trade-off or maintenance cost is producing the failure?
4. Which layer of manifestation are we observing?
5. What intervention would address the underlying function rather than the surface behavior?</w:t>
      </w:r>
    </w:p>
    <w:p>
      <w:pPr>
        <w:spacing w:after="100" w:before="100"/>
      </w:pPr>
      <w:r>
        <w:t xml:space="preserve">---</w:t>
      </w:r>
    </w:p>
    <w:p>
      <w:pPr>
        <w:pStyle w:val="Heading3"/>
        <w:spacing w:after="80" w:before="160"/>
      </w:pPr>
      <w:r>
        <w:t xml:space="preserve">2.3 Maintenance Costs and Agency Within Systems</w:t>
      </w:r>
    </w:p>
    <w:p>
      <w:pPr>
        <w:spacing w:after="100" w:before="100"/>
      </w:pPr>
      <w:r>
        <w:t xml:space="preserve">To analyze a system in breakdown, we must understand two factors: the energy required to sustain it (maintenance costs) and the capacity of actors to navigate it (agency).</w:t>
      </w:r>
    </w:p>
    <w:p>
      <w:pPr>
        <w:pStyle w:val="Heading4"/>
        <w:spacing w:after="60" w:before="120"/>
      </w:pPr>
      <w:r>
        <w:t xml:space="preserve">Table 2.3 — Three Types of Cultural Maintenance Cost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5%"/>
            <w:shd w:fill="C94A29"/>
          </w:tcPr>
          <w:p>
            <w:pPr>
              <w:spacing w:after="100" w:before="100"/>
            </w:pPr>
            <w:r>
              <w:rPr>
                <w:b/>
                <w:bCs/>
                <w:color w:val="FFFFFF"/>
              </w:rPr>
              <w:t xml:space="preserve">Maintenance Cost</w:t>
            </w:r>
          </w:p>
        </w:tc>
        <w:tc>
          <w:tcPr>
            <w:tcW w:type="pct" w:w="25%"/>
            <w:shd w:fill="C94A29"/>
          </w:tcPr>
          <w:p>
            <w:pPr>
              <w:spacing w:after="100" w:before="100"/>
            </w:pPr>
            <w:r>
              <w:rPr>
                <w:b/>
                <w:bCs/>
                <w:color w:val="FFFFFF"/>
              </w:rPr>
              <w:t xml:space="preserve">What Must Be Sustained</w:t>
            </w:r>
          </w:p>
        </w:tc>
        <w:tc>
          <w:tcPr>
            <w:tcW w:type="pct" w:w="25%"/>
            <w:shd w:fill="C94A29"/>
          </w:tcPr>
          <w:p>
            <w:pPr>
              <w:spacing w:after="100" w:before="100"/>
            </w:pPr>
            <w:r>
              <w:rPr>
                <w:b/>
                <w:bCs/>
                <w:color w:val="FFFFFF"/>
              </w:rPr>
              <w:t xml:space="preserve">Typical Burden</w:t>
            </w:r>
          </w:p>
        </w:tc>
        <w:tc>
          <w:tcPr>
            <w:tcW w:type="pct" w:w="25%"/>
            <w:shd w:fill="C94A29"/>
          </w:tcPr>
          <w:p>
            <w:pPr>
              <w:spacing w:after="100" w:before="100"/>
            </w:pPr>
            <w:r>
              <w:rPr>
                <w:b/>
                <w:bCs/>
                <w:color w:val="FFFFFF"/>
              </w:rPr>
              <w:t xml:space="preserve">Failure Signature</w:t>
            </w:r>
          </w:p>
        </w:tc>
      </w:tr>
      <w:tr>
        <w:tc>
          <w:tcPr>
            <w:tcW w:type="pct" w:w="25%"/>
            <w:shd w:fill="FFFFFF"/>
          </w:tcPr>
          <w:p>
            <w:pPr>
              <w:spacing w:after="100" w:before="100"/>
            </w:pPr>
            <w:r>
              <w:rPr>
                <w:b w:val="false"/>
                <w:bCs w:val="false"/>
                <w:color w:val="000000"/>
              </w:rPr>
              <w:t xml:space="preserve">**Cognitive**</w:t>
            </w:r>
          </w:p>
        </w:tc>
        <w:tc>
          <w:tcPr>
            <w:tcW w:type="pct" w:w="25%"/>
            <w:shd w:fill="FFFFFF"/>
          </w:tcPr>
          <w:p>
            <w:pPr>
              <w:spacing w:after="100" w:before="100"/>
            </w:pPr>
            <w:r>
              <w:rPr>
                <w:b w:val="false"/>
                <w:bCs w:val="false"/>
                <w:color w:val="000000"/>
              </w:rPr>
              <w:t xml:space="preserve">Interpreting rules, norms, contradictions, and expectations</w:t>
            </w:r>
          </w:p>
        </w:tc>
        <w:tc>
          <w:tcPr>
            <w:tcW w:type="pct" w:w="25%"/>
            <w:shd w:fill="FFFFFF"/>
          </w:tcPr>
          <w:p>
            <w:pPr>
              <w:spacing w:after="100" w:before="100"/>
            </w:pPr>
            <w:r>
              <w:rPr>
                <w:b w:val="false"/>
                <w:bCs w:val="false"/>
                <w:color w:val="000000"/>
              </w:rPr>
              <w:t xml:space="preserve">Continuous attention, self-monitoring, translation effort</w:t>
            </w:r>
          </w:p>
        </w:tc>
        <w:tc>
          <w:tcPr>
            <w:tcW w:type="pct" w:w="25%"/>
            <w:shd w:fill="FFFFFF"/>
          </w:tcPr>
          <w:p>
            <w:pPr>
              <w:spacing w:after="100" w:before="100"/>
            </w:pPr>
            <w:r>
              <w:rPr>
                <w:b w:val="false"/>
                <w:bCs w:val="false"/>
                <w:color w:val="000000"/>
              </w:rPr>
              <w:t xml:space="preserve">Withdrawal; minimal compliance; low engagement</w:t>
            </w:r>
          </w:p>
        </w:tc>
      </w:tr>
      <w:tr>
        <w:tc>
          <w:tcPr>
            <w:tcW w:type="pct" w:w="25%"/>
            <w:shd w:fill="F9F9F9"/>
          </w:tcPr>
          <w:p>
            <w:pPr>
              <w:spacing w:after="100" w:before="100"/>
            </w:pPr>
            <w:r>
              <w:rPr>
                <w:b w:val="false"/>
                <w:bCs w:val="false"/>
                <w:color w:val="000000"/>
              </w:rPr>
              <w:t xml:space="preserve">**Social**</w:t>
            </w:r>
          </w:p>
        </w:tc>
        <w:tc>
          <w:tcPr>
            <w:tcW w:type="pct" w:w="25%"/>
            <w:shd w:fill="F9F9F9"/>
          </w:tcPr>
          <w:p>
            <w:pPr>
              <w:spacing w:after="100" w:before="100"/>
            </w:pPr>
            <w:r>
              <w:rPr>
                <w:b w:val="false"/>
                <w:bCs w:val="false"/>
                <w:color w:val="000000"/>
              </w:rPr>
              <w:t xml:space="preserve">Sustaining trust networks, face, reputation, and reciprocity</w:t>
            </w:r>
          </w:p>
        </w:tc>
        <w:tc>
          <w:tcPr>
            <w:tcW w:type="pct" w:w="25%"/>
            <w:shd w:fill="F9F9F9"/>
          </w:tcPr>
          <w:p>
            <w:pPr>
              <w:spacing w:after="100" w:before="100"/>
            </w:pPr>
            <w:r>
              <w:rPr>
                <w:b w:val="false"/>
                <w:bCs w:val="false"/>
                <w:color w:val="000000"/>
              </w:rPr>
              <w:t xml:space="preserve">Time investment, emotional labor, network maintenance</w:t>
            </w:r>
          </w:p>
        </w:tc>
        <w:tc>
          <w:tcPr>
            <w:tcW w:type="pct" w:w="25%"/>
            <w:shd w:fill="F9F9F9"/>
          </w:tcPr>
          <w:p>
            <w:pPr>
              <w:spacing w:after="100" w:before="100"/>
            </w:pPr>
            <w:r>
              <w:rPr>
                <w:b w:val="false"/>
                <w:bCs w:val="false"/>
                <w:color w:val="000000"/>
              </w:rPr>
              <w:t xml:space="preserve">Fragmentation; selective cooperation only</w:t>
            </w:r>
          </w:p>
        </w:tc>
      </w:tr>
      <w:tr>
        <w:tc>
          <w:tcPr>
            <w:tcW w:type="pct" w:w="25%"/>
            <w:shd w:fill="FFFFFF"/>
          </w:tcPr>
          <w:p>
            <w:pPr>
              <w:spacing w:after="100" w:before="100"/>
            </w:pPr>
            <w:r>
              <w:rPr>
                <w:b w:val="false"/>
                <w:bCs w:val="false"/>
                <w:color w:val="000000"/>
              </w:rPr>
              <w:t xml:space="preserve">**Institutional**</w:t>
            </w:r>
          </w:p>
        </w:tc>
        <w:tc>
          <w:tcPr>
            <w:tcW w:type="pct" w:w="25%"/>
            <w:shd w:fill="FFFFFF"/>
          </w:tcPr>
          <w:p>
            <w:pPr>
              <w:spacing w:after="100" w:before="100"/>
            </w:pPr>
            <w:r>
              <w:rPr>
                <w:b w:val="false"/>
                <w:bCs w:val="false"/>
                <w:color w:val="000000"/>
              </w:rPr>
              <w:t xml:space="preserve">Sustaining formal structures, ritual, onboarding, and enforcement</w:t>
            </w:r>
          </w:p>
        </w:tc>
        <w:tc>
          <w:tcPr>
            <w:tcW w:type="pct" w:w="25%"/>
            <w:shd w:fill="FFFFFF"/>
          </w:tcPr>
          <w:p>
            <w:pPr>
              <w:spacing w:after="100" w:before="100"/>
            </w:pPr>
            <w:r>
              <w:rPr>
                <w:b w:val="false"/>
                <w:bCs w:val="false"/>
                <w:color w:val="000000"/>
              </w:rPr>
              <w:t xml:space="preserve">Administrative resources, monitoring overhead</w:t>
            </w:r>
          </w:p>
        </w:tc>
        <w:tc>
          <w:tcPr>
            <w:tcW w:type="pct" w:w="25%"/>
            <w:shd w:fill="FFFFFF"/>
          </w:tcPr>
          <w:p>
            <w:pPr>
              <w:spacing w:after="100" w:before="100"/>
            </w:pPr>
            <w:r>
              <w:rPr>
                <w:b w:val="false"/>
                <w:bCs w:val="false"/>
                <w:color w:val="000000"/>
              </w:rPr>
              <w:t xml:space="preserve">Bureaucracy; performative compliance</w:t>
            </w:r>
          </w:p>
        </w:tc>
      </w:tr>
    </w:tbl>
    <w:p>
      <w:pPr>
        <w:pStyle w:val="Heading4"/>
        <w:spacing w:after="60" w:before="120"/>
      </w:pPr>
      <w:r>
        <w:t xml:space="preserve">The Asymmetric Distribution of Cost</w:t>
      </w:r>
    </w:p>
    <w:p>
      <w:pPr>
        <w:spacing w:after="100" w:before="100"/>
      </w:pPr>
      <w:r>
        <w:t xml:space="preserve">These maintenance costs are never equally distributed. In every cultural system, some actors bear disproportionate burdens while others capture the benefits.</w:t>
      </w:r>
    </w:p>
    <w:p>
      <w:pPr>
        <w:spacing w:after="100" w:before="100"/>
      </w:pPr>
      <w:r>
        <w:t xml:space="preserve">Those who must continuously translate between their own cognitive architecture and the dominant system's coordination logic—what Bourdieu (1977) describes as the mismatch between disposition and the field—bear higher cognitive costs than those for whom the system's logic feels natural. Similarly, those outside dominant networks face higher social costs to achieve the same coordination access. Much of what appears as cultural resistance is actually the rational withdrawal of maintenance labor by actors who have been bearing unsustainable coordination costs (Scott, 1990). The analysis of how this asymmetry operates is developed in Chapter 6.</w:t>
      </w:r>
    </w:p>
    <w:p>
      <w:pPr>
        <w:pBdr>
          <w:left w:val="single" w:color="C94A29" w:sz="24" w:space="12"/>
        </w:pBdr>
        <w:spacing w:after="180" w:before="180"/>
        <w:ind w:left="720"/>
      </w:pPr>
      <w:r>
        <w:t xml:space="preserve">[!IMPORTANT]
</w:t>
      </w:r>
      <w:r>
        <w:rPr>
          <w:b/>
          <w:bCs/>
        </w:rPr>
        <w:t xml:space="preserve">Practitioner Lens: Five Forms of Agency Within Cultural Systems</w:t>
      </w:r>
    </w:p>
    <w:p>
      <w:pPr>
        <w:spacing w:after="100" w:before="100"/>
      </w:pPr>
      <w:r>
        <w:t xml:space="preserve">&gt;</w:t>
      </w:r>
    </w:p>
    <w:p>
      <w:pPr>
        <w:pBdr>
          <w:left w:val="single" w:color="C94A29" w:sz="24" w:space="12"/>
        </w:pBdr>
        <w:spacing w:after="180" w:before="180"/>
        <w:ind w:left="720"/>
      </w:pPr>
      <w:r>
        <w:t xml:space="preserve">Even under systemic failure, human agency persists. Actors navigate, adapt, or resist structures through five distinct forms:
* </w:t>
      </w:r>
      <w:r>
        <w:rPr>
          <w:b/>
          <w:bCs/>
        </w:rPr>
        <w:t xml:space="preserve">Navigation</w:t>
      </w:r>
      <w:r>
        <w:t xml:space="preserve">: Finding pathways through existing patterns rather than confronting them directly (e.g., learning which rules are performative and which are enforced).
* </w:t>
      </w:r>
      <w:r>
        <w:rPr>
          <w:b/>
          <w:bCs/>
        </w:rPr>
        <w:t xml:space="preserve">Interpretation</w:t>
      </w:r>
      <w:r>
        <w:t xml:space="preserve">: Working within shared meanings while inflecting them toward different purposes (e.g., framing a collaborative practice as "craftsmanship" instead of "empowerment" to bypass resistance).
* </w:t>
      </w:r>
      <w:r>
        <w:rPr>
          <w:b/>
          <w:bCs/>
        </w:rPr>
        <w:t xml:space="preserve">Coalition-building</w:t>
      </w:r>
      <w:r>
        <w:t xml:space="preserve">: Extending individual agency through collective action to shift what feels possible.
* </w:t>
      </w:r>
      <w:r>
        <w:rPr>
          <w:b/>
          <w:bCs/>
        </w:rPr>
        <w:t xml:space="preserve">Institutional Entrepreneurship</w:t>
      </w:r>
      <w:r>
        <w:t xml:space="preserve">: Creating new coordination mechanisms (e.g., establishing informal technical reviews to surface safety concerns when formal safety channels are blocked).
* </w:t>
      </w:r>
      <w:r>
        <w:rPr>
          <w:b/>
          <w:bCs/>
        </w:rPr>
        <w:t xml:space="preserve">Strategic Non-compliance</w:t>
      </w:r>
      <w:r>
        <w:t xml:space="preserve">: Refusing specific patterns while maintaining participation in others, surfacing that enforcement is weaker than assumed.</w:t>
      </w:r>
    </w:p>
    <w:p>
      <w:pPr>
        <w:spacing w:after="100" w:before="100"/>
      </w:pPr>
      <w:r>
        <w:t xml:space="preserve">---</w:t>
      </w:r>
    </w:p>
    <w:p>
      <w:pPr>
        <w:pStyle w:val="Heading3"/>
        <w:spacing w:after="80" w:before="160"/>
      </w:pPr>
      <w:r>
        <w:t xml:space="preserve">2.4 Why No Culture Can Optimize Everything</w:t>
      </w:r>
    </w:p>
    <w:p>
      <w:pPr>
        <w:spacing w:after="100" w:before="100"/>
      </w:pPr>
      <w:r>
        <w:t xml:space="preserve">Every coordination solution creates a new set of structural dependencies. Every stability is purchased with a loss of flexibility. Culture is not a mechanism that can be tuned to perfection; it is a system that must choose what to protect and what to sacrifice.</w:t>
      </w:r>
    </w:p>
    <w:p>
      <w:pPr>
        <w:spacing w:after="100" w:before="100"/>
      </w:pPr>
      <w:r>
        <w:t xml:space="preserve">Optimization requires a single objective. Culture must hold together competing demands: stability and change, authority and participation, trust and control. In the language of transaction cost economics (Coase, 1937; Williamson, 1985), culture minimizes transaction costs, but these costs are never fully eliminated—they are merely shifted.</w:t>
      </w:r>
    </w:p>
    <w:p>
      <w:pPr>
        <w:pStyle w:val="Heading4"/>
        <w:spacing w:after="60" w:before="120"/>
      </w:pPr>
      <w:r>
        <w:t xml:space="preserve">Table 2.4 — Six Structural Trade-offs No Culture Can Escape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W w:type="pct" w:w="20%"/>
            <w:shd w:fill="C94A29"/>
          </w:tcPr>
          <w:p>
            <w:pPr>
              <w:spacing w:after="100" w:before="100"/>
            </w:pPr>
            <w:r>
              <w:rPr>
                <w:b/>
                <w:bCs/>
                <w:color w:val="FFFFFF"/>
              </w:rPr>
              <w:t xml:space="preserve">Trade-off</w:t>
            </w:r>
          </w:p>
        </w:tc>
        <w:tc>
          <w:tcPr>
            <w:tcW w:type="pct" w:w="20%"/>
            <w:shd w:fill="C94A29"/>
          </w:tcPr>
          <w:p>
            <w:pPr>
              <w:spacing w:after="100" w:before="100"/>
            </w:pPr>
            <w:r>
              <w:rPr>
                <w:b/>
                <w:bCs/>
                <w:color w:val="FFFFFF"/>
              </w:rPr>
              <w:t xml:space="preserve">If the System Privileges Pole A</w:t>
            </w:r>
          </w:p>
        </w:tc>
        <w:tc>
          <w:tcPr>
            <w:tcW w:type="pct" w:w="20%"/>
            <w:shd w:fill="C94A29"/>
          </w:tcPr>
          <w:p>
            <w:pPr>
              <w:spacing w:after="100" w:before="100"/>
            </w:pPr>
            <w:r>
              <w:rPr>
                <w:b/>
                <w:bCs/>
                <w:color w:val="FFFFFF"/>
              </w:rPr>
              <w:t xml:space="preserve">Opportunity Cost</w:t>
            </w:r>
          </w:p>
        </w:tc>
        <w:tc>
          <w:tcPr>
            <w:tcW w:type="pct" w:w="20%"/>
            <w:shd w:fill="C94A29"/>
          </w:tcPr>
          <w:p>
            <w:pPr>
              <w:spacing w:after="100" w:before="100"/>
            </w:pPr>
            <w:r>
              <w:rPr>
                <w:b/>
                <w:bCs/>
                <w:color w:val="FFFFFF"/>
              </w:rPr>
              <w:t xml:space="preserve">If the System Privileges Pole B</w:t>
            </w:r>
          </w:p>
        </w:tc>
        <w:tc>
          <w:tcPr>
            <w:tcW w:type="pct" w:w="20%"/>
            <w:shd w:fill="C94A29"/>
          </w:tcPr>
          <w:p>
            <w:pPr>
              <w:spacing w:after="100" w:before="100"/>
            </w:pPr>
            <w:r>
              <w:rPr>
                <w:b/>
                <w:bCs/>
                <w:color w:val="FFFFFF"/>
              </w:rPr>
              <w:t xml:space="preserve">Opportunity Cost</w:t>
            </w:r>
          </w:p>
        </w:tc>
      </w:tr>
      <w:tr>
        <w:tc>
          <w:tcPr>
            <w:tcW w:type="pct" w:w="20%"/>
            <w:shd w:fill="FFFFFF"/>
          </w:tcPr>
          <w:p>
            <w:pPr>
              <w:spacing w:after="100" w:before="100"/>
            </w:pPr>
            <w:r>
              <w:rPr>
                <w:b w:val="false"/>
                <w:bCs w:val="false"/>
                <w:color w:val="000000"/>
              </w:rPr>
              <w:t xml:space="preserve">**Speed / Consensus**</w:t>
            </w:r>
          </w:p>
        </w:tc>
        <w:tc>
          <w:tcPr>
            <w:tcW w:type="pct" w:w="20%"/>
            <w:shd w:fill="FFFFFF"/>
          </w:tcPr>
          <w:p>
            <w:pPr>
              <w:spacing w:after="100" w:before="100"/>
            </w:pPr>
            <w:r>
              <w:rPr>
                <w:b w:val="false"/>
                <w:bCs w:val="false"/>
                <w:color w:val="000000"/>
              </w:rPr>
              <w:t xml:space="preserve">Faster action</w:t>
            </w:r>
          </w:p>
        </w:tc>
        <w:tc>
          <w:tcPr>
            <w:tcW w:type="pct" w:w="20%"/>
            <w:shd w:fill="FFFFFF"/>
          </w:tcPr>
          <w:p>
            <w:pPr>
              <w:spacing w:after="100" w:before="100"/>
            </w:pPr>
            <w:r>
              <w:rPr>
                <w:b w:val="false"/>
                <w:bCs w:val="false"/>
                <w:color w:val="000000"/>
              </w:rPr>
              <w:t xml:space="preserve">Lower legitimacy; missed expertise</w:t>
            </w:r>
          </w:p>
        </w:tc>
        <w:tc>
          <w:tcPr>
            <w:tcW w:type="pct" w:w="20%"/>
            <w:shd w:fill="FFFFFF"/>
          </w:tcPr>
          <w:p>
            <w:pPr>
              <w:spacing w:after="100" w:before="100"/>
            </w:pPr>
            <w:r>
              <w:rPr>
                <w:b w:val="false"/>
                <w:bCs w:val="false"/>
                <w:color w:val="000000"/>
              </w:rPr>
              <w:t xml:space="preserve">Broader agreement</w:t>
            </w:r>
          </w:p>
        </w:tc>
        <w:tc>
          <w:tcPr>
            <w:tcW w:type="pct" w:w="20%"/>
            <w:shd w:fill="FFFFFF"/>
          </w:tcPr>
          <w:p>
            <w:pPr>
              <w:spacing w:after="100" w:before="100"/>
            </w:pPr>
            <w:r>
              <w:rPr>
                <w:b w:val="false"/>
                <w:bCs w:val="false"/>
                <w:color w:val="000000"/>
              </w:rPr>
              <w:t xml:space="preserve">Delays; lost first-mover advantage</w:t>
            </w:r>
          </w:p>
        </w:tc>
      </w:tr>
      <w:tr>
        <w:tc>
          <w:tcPr>
            <w:tcW w:type="pct" w:w="20%"/>
            <w:shd w:fill="F9F9F9"/>
          </w:tcPr>
          <w:p>
            <w:pPr>
              <w:spacing w:after="100" w:before="100"/>
            </w:pPr>
            <w:r>
              <w:rPr>
                <w:b w:val="false"/>
                <w:bCs w:val="false"/>
                <w:color w:val="000000"/>
              </w:rPr>
              <w:t xml:space="preserve">**Flexibility / Predictability**</w:t>
            </w:r>
          </w:p>
        </w:tc>
        <w:tc>
          <w:tcPr>
            <w:tcW w:type="pct" w:w="20%"/>
            <w:shd w:fill="F9F9F9"/>
          </w:tcPr>
          <w:p>
            <w:pPr>
              <w:spacing w:after="100" w:before="100"/>
            </w:pPr>
            <w:r>
              <w:rPr>
                <w:b w:val="false"/>
                <w:bCs w:val="false"/>
                <w:color w:val="000000"/>
              </w:rPr>
              <w:t xml:space="preserve">Rapid adaptability</w:t>
            </w:r>
          </w:p>
        </w:tc>
        <w:tc>
          <w:tcPr>
            <w:tcW w:type="pct" w:w="20%"/>
            <w:shd w:fill="F9F9F9"/>
          </w:tcPr>
          <w:p>
            <w:pPr>
              <w:spacing w:after="100" w:before="100"/>
            </w:pPr>
            <w:r>
              <w:rPr>
                <w:b w:val="false"/>
                <w:bCs w:val="false"/>
                <w:color w:val="000000"/>
              </w:rPr>
              <w:t xml:space="preserve">Loss of reliability</w:t>
            </w:r>
          </w:p>
        </w:tc>
        <w:tc>
          <w:tcPr>
            <w:tcW w:type="pct" w:w="20%"/>
            <w:shd w:fill="F9F9F9"/>
          </w:tcPr>
          <w:p>
            <w:pPr>
              <w:spacing w:after="100" w:before="100"/>
            </w:pPr>
            <w:r>
              <w:rPr>
                <w:b w:val="false"/>
                <w:bCs w:val="false"/>
                <w:color w:val="000000"/>
              </w:rPr>
              <w:t xml:space="preserve">Stable quality</w:t>
            </w:r>
          </w:p>
        </w:tc>
        <w:tc>
          <w:tcPr>
            <w:tcW w:type="pct" w:w="20%"/>
            <w:shd w:fill="F9F9F9"/>
          </w:tcPr>
          <w:p>
            <w:pPr>
              <w:spacing w:after="100" w:before="100"/>
            </w:pPr>
            <w:r>
              <w:rPr>
                <w:b w:val="false"/>
                <w:bCs w:val="false"/>
                <w:color w:val="000000"/>
              </w:rPr>
              <w:t xml:space="preserve">Rigidity; slow crisis response</w:t>
            </w:r>
          </w:p>
        </w:tc>
      </w:tr>
      <w:tr>
        <w:tc>
          <w:tcPr>
            <w:tcW w:type="pct" w:w="20%"/>
            <w:shd w:fill="FFFFFF"/>
          </w:tcPr>
          <w:p>
            <w:pPr>
              <w:spacing w:after="100" w:before="100"/>
            </w:pPr>
            <w:r>
              <w:rPr>
                <w:b w:val="false"/>
                <w:bCs w:val="false"/>
                <w:color w:val="000000"/>
              </w:rPr>
              <w:t xml:space="preserve">**Trust / Control**</w:t>
            </w:r>
          </w:p>
        </w:tc>
        <w:tc>
          <w:tcPr>
            <w:tcW w:type="pct" w:w="20%"/>
            <w:shd w:fill="FFFFFF"/>
          </w:tcPr>
          <w:p>
            <w:pPr>
              <w:spacing w:after="100" w:before="100"/>
            </w:pPr>
            <w:r>
              <w:rPr>
                <w:b w:val="false"/>
                <w:bCs w:val="false"/>
                <w:color w:val="000000"/>
              </w:rPr>
              <w:t xml:space="preserve">Lower administrative friction</w:t>
            </w:r>
          </w:p>
        </w:tc>
        <w:tc>
          <w:tcPr>
            <w:tcW w:type="pct" w:w="20%"/>
            <w:shd w:fill="FFFFFF"/>
          </w:tcPr>
          <w:p>
            <w:pPr>
              <w:spacing w:after="100" w:before="100"/>
            </w:pPr>
            <w:r>
              <w:rPr>
                <w:b w:val="false"/>
                <w:bCs w:val="false"/>
                <w:color w:val="000000"/>
              </w:rPr>
              <w:t xml:space="preserve">Vulnerability to abuse/fraud</w:t>
            </w:r>
          </w:p>
        </w:tc>
        <w:tc>
          <w:tcPr>
            <w:tcW w:type="pct" w:w="20%"/>
            <w:shd w:fill="FFFFFF"/>
          </w:tcPr>
          <w:p>
            <w:pPr>
              <w:spacing w:after="100" w:before="100"/>
            </w:pPr>
            <w:r>
              <w:rPr>
                <w:b w:val="false"/>
                <w:bCs w:val="false"/>
                <w:color w:val="000000"/>
              </w:rPr>
              <w:t xml:space="preserve">Risk reduction</w:t>
            </w:r>
          </w:p>
        </w:tc>
        <w:tc>
          <w:tcPr>
            <w:tcW w:type="pct" w:w="20%"/>
            <w:shd w:fill="FFFFFF"/>
          </w:tcPr>
          <w:p>
            <w:pPr>
              <w:spacing w:after="100" w:before="100"/>
            </w:pPr>
            <w:r>
              <w:rPr>
                <w:b w:val="false"/>
                <w:bCs w:val="false"/>
                <w:color w:val="000000"/>
              </w:rPr>
              <w:t xml:space="preserve">Slowness; defensive behavior</w:t>
            </w:r>
          </w:p>
        </w:tc>
      </w:tr>
      <w:tr>
        <w:tc>
          <w:tcPr>
            <w:tcW w:type="pct" w:w="20%"/>
            <w:shd w:fill="F9F9F9"/>
          </w:tcPr>
          <w:p>
            <w:pPr>
              <w:spacing w:after="100" w:before="100"/>
            </w:pPr>
            <w:r>
              <w:rPr>
                <w:b w:val="false"/>
                <w:bCs w:val="false"/>
                <w:color w:val="000000"/>
              </w:rPr>
              <w:t xml:space="preserve">**Innovation / Stability**</w:t>
            </w:r>
          </w:p>
        </w:tc>
        <w:tc>
          <w:tcPr>
            <w:tcW w:type="pct" w:w="20%"/>
            <w:shd w:fill="F9F9F9"/>
          </w:tcPr>
          <w:p>
            <w:pPr>
              <w:spacing w:after="100" w:before="100"/>
            </w:pPr>
            <w:r>
              <w:rPr>
                <w:b w:val="false"/>
                <w:bCs w:val="false"/>
                <w:color w:val="000000"/>
              </w:rPr>
              <w:t xml:space="preserve">Constant experimentation</w:t>
            </w:r>
          </w:p>
        </w:tc>
        <w:tc>
          <w:tcPr>
            <w:tcW w:type="pct" w:w="20%"/>
            <w:shd w:fill="F9F9F9"/>
          </w:tcPr>
          <w:p>
            <w:pPr>
              <w:spacing w:after="100" w:before="100"/>
            </w:pPr>
            <w:r>
              <w:rPr>
                <w:b w:val="false"/>
                <w:bCs w:val="false"/>
                <w:color w:val="000000"/>
              </w:rPr>
              <w:t xml:space="preserve">Volatility; shallow execution</w:t>
            </w:r>
          </w:p>
        </w:tc>
        <w:tc>
          <w:tcPr>
            <w:tcW w:type="pct" w:w="20%"/>
            <w:shd w:fill="F9F9F9"/>
          </w:tcPr>
          <w:p>
            <w:pPr>
              <w:spacing w:after="100" w:before="100"/>
            </w:pPr>
            <w:r>
              <w:rPr>
                <w:b w:val="false"/>
                <w:bCs w:val="false"/>
                <w:color w:val="000000"/>
              </w:rPr>
              <w:t xml:space="preserve">Continuity; deep execution</w:t>
            </w:r>
          </w:p>
        </w:tc>
        <w:tc>
          <w:tcPr>
            <w:tcW w:type="pct" w:w="20%"/>
            <w:shd w:fill="F9F9F9"/>
          </w:tcPr>
          <w:p>
            <w:pPr>
              <w:spacing w:after="100" w:before="100"/>
            </w:pPr>
            <w:r>
              <w:rPr>
                <w:b w:val="false"/>
                <w:bCs w:val="false"/>
                <w:color w:val="000000"/>
              </w:rPr>
              <w:t xml:space="preserve">Inertia; eventual irrelevance</w:t>
            </w:r>
          </w:p>
        </w:tc>
      </w:tr>
      <w:tr>
        <w:tc>
          <w:tcPr>
            <w:tcW w:type="pct" w:w="20%"/>
            <w:shd w:fill="FFFFFF"/>
          </w:tcPr>
          <w:p>
            <w:pPr>
              <w:spacing w:after="100" w:before="100"/>
            </w:pPr>
            <w:r>
              <w:rPr>
                <w:b w:val="false"/>
                <w:bCs w:val="false"/>
                <w:color w:val="000000"/>
              </w:rPr>
              <w:t xml:space="preserve">**Harmony / Confrontation**</w:t>
            </w:r>
          </w:p>
        </w:tc>
        <w:tc>
          <w:tcPr>
            <w:tcW w:type="pct" w:w="20%"/>
            <w:shd w:fill="FFFFFF"/>
          </w:tcPr>
          <w:p>
            <w:pPr>
              <w:spacing w:after="100" w:before="100"/>
            </w:pPr>
            <w:r>
              <w:rPr>
                <w:b w:val="false"/>
                <w:bCs w:val="false"/>
                <w:color w:val="000000"/>
              </w:rPr>
              <w:t xml:space="preserve">Relationship preservation</w:t>
            </w:r>
          </w:p>
        </w:tc>
        <w:tc>
          <w:tcPr>
            <w:tcW w:type="pct" w:w="20%"/>
            <w:shd w:fill="FFFFFF"/>
          </w:tcPr>
          <w:p>
            <w:pPr>
              <w:spacing w:after="100" w:before="100"/>
            </w:pPr>
            <w:r>
              <w:rPr>
                <w:b w:val="false"/>
                <w:bCs w:val="false"/>
                <w:color w:val="000000"/>
              </w:rPr>
              <w:t xml:space="preserve">Hidden misconduct and errors</w:t>
            </w:r>
          </w:p>
        </w:tc>
        <w:tc>
          <w:tcPr>
            <w:tcW w:type="pct" w:w="20%"/>
            <w:shd w:fill="FFFFFF"/>
          </w:tcPr>
          <w:p>
            <w:pPr>
              <w:spacing w:after="100" w:before="100"/>
            </w:pPr>
            <w:r>
              <w:rPr>
                <w:b w:val="false"/>
                <w:bCs w:val="false"/>
                <w:color w:val="000000"/>
              </w:rPr>
              <w:t xml:space="preserve">Direct problem surfacing</w:t>
            </w:r>
          </w:p>
        </w:tc>
        <w:tc>
          <w:tcPr>
            <w:tcW w:type="pct" w:w="20%"/>
            <w:shd w:fill="FFFFFF"/>
          </w:tcPr>
          <w:p>
            <w:pPr>
              <w:spacing w:after="100" w:before="100"/>
            </w:pPr>
            <w:r>
              <w:rPr>
                <w:b w:val="false"/>
                <w:bCs w:val="false"/>
                <w:color w:val="000000"/>
              </w:rPr>
              <w:t xml:space="preserve">Relational damage; low safety</w:t>
            </w:r>
          </w:p>
        </w:tc>
      </w:tr>
      <w:tr>
        <w:tc>
          <w:tcPr>
            <w:tcW w:type="pct" w:w="20%"/>
            <w:shd w:fill="F9F9F9"/>
          </w:tcPr>
          <w:p>
            <w:pPr>
              <w:spacing w:after="100" w:before="100"/>
            </w:pPr>
            <w:r>
              <w:rPr>
                <w:b w:val="false"/>
                <w:bCs w:val="false"/>
                <w:color w:val="000000"/>
              </w:rPr>
              <w:t xml:space="preserve">**Inclusiveness / Decisiveness**</w:t>
            </w:r>
          </w:p>
        </w:tc>
        <w:tc>
          <w:tcPr>
            <w:tcW w:type="pct" w:w="20%"/>
            <w:shd w:fill="F9F9F9"/>
          </w:tcPr>
          <w:p>
            <w:pPr>
              <w:spacing w:after="100" w:before="100"/>
            </w:pPr>
            <w:r>
              <w:rPr>
                <w:b w:val="false"/>
                <w:bCs w:val="false"/>
                <w:color w:val="000000"/>
              </w:rPr>
              <w:t xml:space="preserve">Stakeholder legitimacy</w:t>
            </w:r>
          </w:p>
        </w:tc>
        <w:tc>
          <w:tcPr>
            <w:tcW w:type="pct" w:w="20%"/>
            <w:shd w:fill="F9F9F9"/>
          </w:tcPr>
          <w:p>
            <w:pPr>
              <w:spacing w:after="100" w:before="100"/>
            </w:pPr>
            <w:r>
              <w:rPr>
                <w:b w:val="false"/>
                <w:bCs w:val="false"/>
                <w:color w:val="000000"/>
              </w:rPr>
              <w:t xml:space="preserve">Slow decision cycles</w:t>
            </w:r>
          </w:p>
        </w:tc>
        <w:tc>
          <w:tcPr>
            <w:tcW w:type="pct" w:w="20%"/>
            <w:shd w:fill="F9F9F9"/>
          </w:tcPr>
          <w:p>
            <w:pPr>
              <w:spacing w:after="100" w:before="100"/>
            </w:pPr>
            <w:r>
              <w:rPr>
                <w:b w:val="false"/>
                <w:bCs w:val="false"/>
                <w:color w:val="000000"/>
              </w:rPr>
              <w:t xml:space="preserve">Fast execution</w:t>
            </w:r>
          </w:p>
        </w:tc>
        <w:tc>
          <w:tcPr>
            <w:tcW w:type="pct" w:w="20%"/>
            <w:shd w:fill="F9F9F9"/>
          </w:tcPr>
          <w:p>
            <w:pPr>
              <w:spacing w:after="100" w:before="100"/>
            </w:pPr>
            <w:r>
              <w:rPr>
                <w:b w:val="false"/>
                <w:bCs w:val="false"/>
                <w:color w:val="000000"/>
              </w:rPr>
              <w:t xml:space="preserve">Community resistance; exclusion</w:t>
            </w:r>
          </w:p>
        </w:tc>
      </w:tr>
    </w:tbl>
    <w:p>
      <w:pPr>
        <w:pStyle w:val="Heading4"/>
        <w:spacing w:after="60" w:before="120"/>
      </w:pPr>
      <w:r>
        <w:t xml:space="preserve">Paired Cases of Trade-off Alignment</w:t>
      </w:r>
    </w:p>
    <w:p>
      <w:pPr>
        <w:pStyle w:val="ListParagraph"/>
        <w:numPr>
          <w:ilvl w:val="0"/>
          <w:numId w:val="1"/>
        </w:numPr>
        <w:spacing w:after="60" w:before="60"/>
      </w:pPr>
      <w:r>
        <w:rPr>
          <w:b/>
          <w:bCs/>
        </w:rPr>
        <w:t xml:space="preserve">Speed vs. Consensus</w:t>
      </w:r>
      <w:r>
        <w:t xml:space="preserve">: A tech company acquired a startup and imposed its fast-moving decision culture. Major product decisions were made without consulting the legacy engineers, creating technical debt that took eighteen months to resolve. Conversely, a German manufacturing firm spent fourteen months in internal consultation before approving an expansion, during which a competitor captured the target market's key supplier relationships. Both paid an opportunity cost.</w:t>
      </w:r>
    </w:p>
    <w:p>
      <w:pPr>
        <w:pStyle w:val="ListParagraph"/>
        <w:numPr>
          <w:ilvl w:val="0"/>
          <w:numId w:val="1"/>
        </w:numPr>
        <w:spacing w:after="60" w:before="60"/>
      </w:pPr>
      <w:r>
        <w:rPr>
          <w:b/>
          <w:bCs/>
        </w:rPr>
        <w:t xml:space="preserve">Flexibility vs. Predictability</w:t>
      </w:r>
      <w:r>
        <w:t xml:space="preserve">: A creative agency prided itself on flexibility, adapting to every client request until a major campaign missed its launch window. Conversely, a Swiss pharmaceutical company maintained rigid protocols for every process; when a pandemic created urgent demand for accelerated vaccine development, the company struggled to adapt.</w:t>
      </w:r>
    </w:p>
    <w:p>
      <w:pPr>
        <w:pStyle w:val="ListParagraph"/>
        <w:numPr>
          <w:ilvl w:val="0"/>
          <w:numId w:val="1"/>
        </w:numPr>
        <w:spacing w:after="60" w:before="60"/>
      </w:pPr>
      <w:r>
        <w:rPr>
          <w:b/>
          <w:bCs/>
        </w:rPr>
        <w:t xml:space="preserve">Trust vs. Control</w:t>
      </w:r>
      <w:r>
        <w:t xml:space="preserve">: A family-owned trading company in Hong Kong operated on handshake agreements. When a partner embezzled funds, the company discovered that trust-based operations had left no paper trail for legal recovery. Conversely, a corporation implemented extensive approval procedures after a procurement scandal. Average procurement time increased from two weeks to three months, and key talent resigned, citing micromanagement.</w:t>
      </w:r>
    </w:p>
    <w:p>
      <w:pPr>
        <w:pStyle w:val="Heading4"/>
        <w:spacing w:after="60" w:before="120"/>
      </w:pPr>
      <w:r>
        <w:t xml:space="preserve">The Constraint-Environment Foundation</w:t>
      </w:r>
    </w:p>
    <w:p>
      <w:pPr>
        <w:spacing w:after="100" w:before="100"/>
      </w:pPr>
      <w:r>
        <w:t xml:space="preserve">These choices are not arbitrary cultural preferences. They are rational responses to specific *constraint environments*—the ecological, historical, institutional, and economic conditions within which a system must coordinate (North, 1990).</w:t>
      </w:r>
    </w:p>
    <w:p>
      <w:pPr>
        <w:spacing w:after="100" w:before="100"/>
      </w:pPr>
      <w:r>
        <w:t xml:space="preserve">In a context with strong formal legal infrastructure, the opportunity cost of relying on formal control is low: contracts are enforceable, disputes are resolved predictably, and the system can rely on institutional enforcement rather than relationship-based trust. Where legal infrastructure is weak, the cost of relying on formal control is prohibitively high. The coordination system must invest in relationship-based trust because it is the only enforcement mechanism available. The relationship infrastructure is not a preference for warmth; it is a rational solution to an institutional constraint problem.</w:t>
      </w:r>
    </w:p>
    <w:p>
      <w:pPr>
        <w:spacing w:after="100" w:before="100"/>
      </w:pPr>
      <w:r>
        <w:t xml:space="preserve">A society that privileges harmony over confrontation is not avoiding conflict. It is operating in an environment where relational networks are so central to daily coordination that damaging them carries costs that exceed the benefits of direct problem-surfacing. German precision is not the universal benchmark of rationality against which Brazilian flexibility is measured as a deficit. Both are rational configurations—one optimized for high-infrastructure stability, the other for high-volatility uncertainty.</w:t>
      </w:r>
    </w:p>
    <w:p>
      <w:pPr>
        <w:spacing w:after="100" w:before="100"/>
      </w:pPr>
      <w:r>
        <w:t xml:space="preserve">---</w:t>
      </w:r>
    </w:p>
    <w:p>
      <w:pPr>
        <w:pStyle w:val="Heading3"/>
        <w:spacing w:after="80" w:before="160"/>
      </w:pPr>
      <w:r>
        <w:t xml:space="preserve">2.5 Why Manifestations Are Signals, Not Definitions</w:t>
      </w:r>
    </w:p>
    <w:p>
      <w:pPr>
        <w:spacing w:after="100" w:before="100"/>
      </w:pPr>
      <w:r>
        <w:t xml:space="preserve">How do we observe a system that operates beneath the surface? We see it through its manifestations—behaviors, rituals, and communication styles. But visibility is not structure. Manifestations are the surface effects of a system doing its work. To confuse manifestation with culture is to confuse smoke with fire.</w:t>
      </w:r>
    </w:p>
    <w:p>
      <w:pPr>
        <w:spacing w:after="100" w:before="100"/>
      </w:pPr>
      <w:r>
        <w:t xml:space="preserve">The same visible behavior can arise from entirely different coordination needs. Silence in a meeting is a classic example. An American technology company acquired a Korean software firm and noticed that Korean engineers rarely spoke in meetings. American leadership interpreted this as a lack of engagement or expertise and documented it in performance reviews. Three senior Korean engineers resigned. The American interpretation had been exactly wrong: the Korean engineers were silent because they respected the hierarchical position of the American managers. Speaking freely would have claimed equal status. The same manifestation (silence) signaled deference in one system and disengagement in the other.</w:t>
      </w:r>
    </w:p>
    <w:p>
      <w:pPr>
        <w:pStyle w:val="Heading4"/>
        <w:spacing w:after="60" w:before="120"/>
      </w:pPr>
      <w:r>
        <w:t xml:space="preserve">Figure 2.2 — Three Layers of Cultural Manifestation</w:t>
      </w:r>
    </w:p>
    <w:p>
      <w:pPr>
        <w:shd w:fill="F4F4F4"/>
        <w:spacing w:after="120" w:before="120"/>
        <w:ind w:left="360"/>
      </w:pPr>
      <w:r>
        <w:rPr>
          <w:rFonts w:ascii="Courier New" w:cs="Courier New" w:eastAsia="Courier New" w:hAnsi="Courier New"/>
          <w:sz w:val="18"/>
          <w:szCs w:val="18"/>
        </w:rPr>
        <w:t xml:space="preserve">      [ Surface Layer ]   &lt;-- Visible behaviors, rituals, communication styles.
             │                (Most accessible / Least diagnostically reliable)
             ▼
      [ Middle Layer ]    &lt;-- Implicit norms, role rules, unwritten expectations.
             │                (Less visible / More diagnostically useful)
             ▼
       [ Deep Layer ]     &lt;-- Assumptions about causality, authority, time, obligation.
                              (Least visible / Most structurally powerful)</w:t>
      </w:r>
    </w:p>
    <w:p>
      <w:pPr>
        <w:pStyle w:val="Heading4"/>
        <w:spacing w:after="60" w:before="120"/>
      </w:pPr>
      <w:r>
        <w:t xml:space="preserve">The Diagnostic Depth of the Three Layers</w:t>
      </w:r>
    </w:p>
    <w:p>
      <w:pPr>
        <w:spacing w:after="100" w:before="100"/>
      </w:pPr>
      <w:r>
        <w:t xml:space="preserve">This layered structure extends Schein’s (2010) organizational model into cross-cultural analysis, grounding each layer in constraint-environment adaptations.</w:t>
      </w:r>
    </w:p>
    <w:p>
      <w:pPr>
        <w:pStyle w:val="ListParagraph"/>
        <w:numPr>
          <w:ilvl w:val="0"/>
          <w:numId w:val="1"/>
        </w:numPr>
        <w:spacing w:after="60" w:before="60"/>
      </w:pPr>
      <w:r>
        <w:rPr>
          <w:b/>
          <w:bCs/>
        </w:rPr>
        <w:t xml:space="preserve">The surface layer</w:t>
      </w:r>
      <w:r>
        <w:t xml:space="preserve"> consists of visible behaviors. It is the most accessible but the least diagnostically reliable because it is easily performed. An employee can learn to use direct communication without any shift in the underlying trust architecture or authority assumptions that govern how they act under stress. Surface compliance reduces friction, but it is not cultural alignment.</w:t>
      </w:r>
    </w:p>
    <w:p>
      <w:pPr>
        <w:pStyle w:val="ListParagraph"/>
        <w:numPr>
          <w:ilvl w:val="0"/>
          <w:numId w:val="1"/>
        </w:numPr>
        <w:spacing w:after="60" w:before="60"/>
      </w:pPr>
      <w:r>
        <w:rPr>
          <w:b/>
          <w:bCs/>
        </w:rPr>
        <w:t xml:space="preserve">The middle layer</w:t>
      </w:r>
      <w:r>
        <w:t xml:space="preserve"> consists of implicit norms—the unwritten rules that participants apply without conscious awareness (e.g., when a decision is actually a decision, or what counts as responsibility). This layer is harder to perform without internalizing and is highly useful for diagnosing coordination.</w:t>
      </w:r>
    </w:p>
    <w:p>
      <w:pPr>
        <w:pStyle w:val="ListParagraph"/>
        <w:numPr>
          <w:ilvl w:val="0"/>
          <w:numId w:val="1"/>
        </w:numPr>
        <w:spacing w:after="60" w:before="60"/>
      </w:pPr>
      <w:r>
        <w:rPr>
          <w:b/>
          <w:bCs/>
        </w:rPr>
        <w:t xml:space="preserve">The deep layer</w:t>
      </w:r>
      <w:r>
        <w:t xml:space="preserve"> consists of basic assumptions—the cognitive architecture of the system (e.g., analytic vs. holistic causal reasoning (Nisbett, 2003)). The deep layer is where constraint-environment adaptations have been most thoroughly internalized—where what began as a rational response to an institutional environment has become simply "the way the world works."</w:t>
      </w:r>
    </w:p>
    <w:p>
      <w:pPr>
        <w:spacing w:after="100" w:before="100"/>
      </w:pPr>
      <w:r>
        <w:t xml:space="preserve">Effective diagnosis must move through all three layers. An intervention that addresses surface behavior without understanding the middle-layer norms that generate it produces only temporary compliance. Effective diagnosis treats manifestations as signals pointing toward underlying coordination needs.</w:t>
      </w:r>
    </w:p>
    <w:p>
      <w:pPr>
        <w:spacing w:after="100" w:before="100"/>
      </w:pPr>
      <w:r>
        <w:t xml:space="preserve">---</w:t>
      </w:r>
    </w:p>
    <w:p>
      <w:pPr>
        <w:pStyle w:val="Heading3"/>
        <w:spacing w:after="80" w:before="160"/>
      </w:pPr>
      <w:r>
        <w:t xml:space="preserve">2.6 From Functions to Diagnosis</w:t>
      </w:r>
    </w:p>
    <w:p>
      <w:pPr>
        <w:spacing w:after="100" w:before="100"/>
      </w:pPr>
      <w:r>
        <w:t xml:space="preserve">Cultural friction is information. Every coordination failure, pattern of resistance, or unexpected behavior carries diagnostic content. It points to a function that is not being performed, a trade-off whose costs are accumulating, or a maintenance burden that is being inequitably distributed.</w:t>
      </w:r>
    </w:p>
    <w:p>
      <w:pPr>
        <w:spacing w:after="100" w:before="100"/>
      </w:pPr>
      <w:r>
        <w:t xml:space="preserve">This leads to the principle of </w:t>
      </w:r>
      <w:r>
        <w:rPr>
          <w:b/>
          <w:bCs/>
        </w:rPr>
        <w:t xml:space="preserve">functional specificity</w:t>
      </w:r>
      <w:r>
        <w:t xml:space="preserve"> in diagnosis: cultural problems must be diagnosed according to the coordination function under stress. A trust problem, a legitimacy problem, and a translation problem may all appear on the surface as "resistance," but they require different interventions. Applying generic training to all of them is equivalent to treating all medical symptoms with the same medication.</w:t>
      </w:r>
    </w:p>
    <w:p>
      <w:pPr>
        <w:pStyle w:val="Heading4"/>
        <w:spacing w:after="60" w:before="120"/>
      </w:pPr>
      <w:r>
        <w:t xml:space="preserve">Diagnostic Questions for Chapter 2</w:t>
      </w:r>
    </w:p>
    <w:p>
      <w:pPr>
        <w:spacing w:after="100" w:before="100"/>
      </w:pPr>
      <w:r>
        <w:t xml:space="preserve">1. </w:t>
      </w:r>
      <w:r>
        <w:rPr>
          <w:b/>
          <w:bCs/>
        </w:rPr>
        <w:t xml:space="preserve">Which coordination function is under stress?</w:t>
      </w:r>
      <w:r>
        <w:t xml:space="preserve"> (Table 2.1)</w:t>
      </w:r>
    </w:p>
    <w:p>
      <w:pPr>
        <w:spacing w:after="100" w:before="100"/>
      </w:pPr>
      <w:r>
        <w:t xml:space="preserve">2. </w:t>
      </w:r>
      <w:r>
        <w:rPr>
          <w:b/>
          <w:bCs/>
        </w:rPr>
        <w:t xml:space="preserve">What failure mode signature is observable?</w:t>
      </w:r>
      <w:r>
        <w:t xml:space="preserve"> (Table 2.2)</w:t>
      </w:r>
    </w:p>
    <w:p>
      <w:pPr>
        <w:spacing w:after="100" w:before="100"/>
      </w:pPr>
      <w:r>
        <w:t xml:space="preserve">3. </w:t>
      </w:r>
      <w:r>
        <w:rPr>
          <w:b/>
          <w:bCs/>
        </w:rPr>
        <w:t xml:space="preserve">Whose opportunity costs are accumulating?</w:t>
      </w:r>
      <w:r>
        <w:t xml:space="preserve"> (Table 2.4)</w:t>
      </w:r>
    </w:p>
    <w:p>
      <w:pPr>
        <w:spacing w:after="100" w:before="100"/>
      </w:pPr>
      <w:r>
        <w:t xml:space="preserve">4. </w:t>
      </w:r>
      <w:r>
        <w:rPr>
          <w:b/>
          <w:bCs/>
        </w:rPr>
        <w:t xml:space="preserve">Who bears the maintenance costs, and is that distribution sustainable?</w:t>
      </w:r>
      <w:r>
        <w:t xml:space="preserve"> (Table 2.3)</w:t>
      </w:r>
    </w:p>
    <w:p>
      <w:pPr>
        <w:spacing w:after="100" w:before="100"/>
      </w:pPr>
      <w:r>
        <w:t xml:space="preserve">5. </w:t>
      </w:r>
      <w:r>
        <w:rPr>
          <w:b/>
          <w:bCs/>
        </w:rPr>
        <w:t xml:space="preserve">What constraint environment shift is driving the dysfunction?</w:t>
      </w:r>
    </w:p>
    <w:p>
      <w:pPr>
        <w:pStyle w:val="Heading4"/>
        <w:spacing w:after="60" w:before="120"/>
      </w:pPr>
      <w:r>
        <w:t xml:space="preserve">Table 2.5 — RAG-Ready Concept Summary: Chapter 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33.333333333333336%"/>
            <w:shd w:fill="C94A29"/>
          </w:tcPr>
          <w:p>
            <w:pPr>
              <w:spacing w:after="100" w:before="100"/>
            </w:pPr>
            <w:r>
              <w:rPr>
                <w:b/>
                <w:bCs/>
                <w:color w:val="FFFFFF"/>
              </w:rPr>
              <w:t xml:space="preserve">Concept</w:t>
            </w:r>
          </w:p>
        </w:tc>
        <w:tc>
          <w:tcPr>
            <w:tcW w:type="pct" w:w="33.333333333333336%"/>
            <w:shd w:fill="C94A29"/>
          </w:tcPr>
          <w:p>
            <w:pPr>
              <w:spacing w:after="100" w:before="100"/>
            </w:pPr>
            <w:r>
              <w:rPr>
                <w:b/>
                <w:bCs/>
                <w:color w:val="FFFFFF"/>
              </w:rPr>
              <w:t xml:space="preserve">Definition</w:t>
            </w:r>
          </w:p>
        </w:tc>
        <w:tc>
          <w:tcPr>
            <w:tcW w:type="pct" w:w="33.333333333333336%"/>
            <w:shd w:fill="C94A29"/>
          </w:tcPr>
          <w:p>
            <w:pPr>
              <w:spacing w:after="100" w:before="100"/>
            </w:pPr>
            <w:r>
              <w:rPr>
                <w:b/>
                <w:bCs/>
                <w:color w:val="FFFFFF"/>
              </w:rPr>
              <w:t xml:space="preserve">Diagnostic Use</w:t>
            </w:r>
          </w:p>
        </w:tc>
      </w:tr>
      <w:tr>
        <w:tc>
          <w:tcPr>
            <w:tcW w:type="pct" w:w="33.333333333333336%"/>
            <w:shd w:fill="FFFFFF"/>
          </w:tcPr>
          <w:p>
            <w:pPr>
              <w:spacing w:after="100" w:before="100"/>
            </w:pPr>
            <w:r>
              <w:rPr>
                <w:b w:val="false"/>
                <w:bCs w:val="false"/>
                <w:color w:val="000000"/>
              </w:rPr>
              <w:t xml:space="preserve">**Coordination Function**</w:t>
            </w:r>
          </w:p>
        </w:tc>
        <w:tc>
          <w:tcPr>
            <w:tcW w:type="pct" w:w="33.333333333333336%"/>
            <w:shd w:fill="FFFFFF"/>
          </w:tcPr>
          <w:p>
            <w:pPr>
              <w:spacing w:after="100" w:before="100"/>
            </w:pPr>
            <w:r>
              <w:rPr>
                <w:b w:val="false"/>
                <w:bCs w:val="false"/>
                <w:color w:val="000000"/>
              </w:rPr>
              <w:t xml:space="preserve">Core work culture performs to make collective action possible</w:t>
            </w:r>
          </w:p>
        </w:tc>
        <w:tc>
          <w:tcPr>
            <w:tcW w:type="pct" w:w="33.333333333333336%"/>
            <w:shd w:fill="FFFFFF"/>
          </w:tcPr>
          <w:p>
            <w:pPr>
              <w:spacing w:after="100" w:before="100"/>
            </w:pPr>
            <w:r>
              <w:rPr>
                <w:b w:val="false"/>
                <w:bCs w:val="false"/>
                <w:color w:val="000000"/>
              </w:rPr>
              <w:t xml:space="preserve">Identifies the specific coordination need under stress</w:t>
            </w:r>
          </w:p>
        </w:tc>
      </w:tr>
      <w:tr>
        <w:tc>
          <w:tcPr>
            <w:tcW w:type="pct" w:w="33.333333333333336%"/>
            <w:shd w:fill="F9F9F9"/>
          </w:tcPr>
          <w:p>
            <w:pPr>
              <w:spacing w:after="100" w:before="100"/>
            </w:pPr>
            <w:r>
              <w:rPr>
                <w:b w:val="false"/>
                <w:bCs w:val="false"/>
                <w:color w:val="000000"/>
              </w:rPr>
              <w:t xml:space="preserve">**Failure Mode**</w:t>
            </w:r>
          </w:p>
        </w:tc>
        <w:tc>
          <w:tcPr>
            <w:tcW w:type="pct" w:w="33.333333333333336%"/>
            <w:shd w:fill="F9F9F9"/>
          </w:tcPr>
          <w:p>
            <w:pPr>
              <w:spacing w:after="100" w:before="100"/>
            </w:pPr>
            <w:r>
              <w:rPr>
                <w:b w:val="false"/>
                <w:bCs w:val="false"/>
                <w:color w:val="000000"/>
              </w:rPr>
              <w:t xml:space="preserve">Observable breakdown revealing a stressed function</w:t>
            </w:r>
          </w:p>
        </w:tc>
        <w:tc>
          <w:tcPr>
            <w:tcW w:type="pct" w:w="33.333333333333336%"/>
            <w:shd w:fill="F9F9F9"/>
          </w:tcPr>
          <w:p>
            <w:pPr>
              <w:spacing w:after="100" w:before="100"/>
            </w:pPr>
            <w:r>
              <w:rPr>
                <w:b w:val="false"/>
                <w:bCs w:val="false"/>
                <w:color w:val="000000"/>
              </w:rPr>
              <w:t xml:space="preserve">Turns operational friction into diagnostic data</w:t>
            </w:r>
          </w:p>
        </w:tc>
      </w:tr>
      <w:tr>
        <w:tc>
          <w:tcPr>
            <w:tcW w:type="pct" w:w="33.333333333333336%"/>
            <w:shd w:fill="FFFFFF"/>
          </w:tcPr>
          <w:p>
            <w:pPr>
              <w:spacing w:after="100" w:before="100"/>
            </w:pPr>
            <w:r>
              <w:rPr>
                <w:b w:val="false"/>
                <w:bCs w:val="false"/>
                <w:color w:val="000000"/>
              </w:rPr>
              <w:t xml:space="preserve">**Maintenance Cost**</w:t>
            </w:r>
          </w:p>
        </w:tc>
        <w:tc>
          <w:tcPr>
            <w:tcW w:type="pct" w:w="33.333333333333336%"/>
            <w:shd w:fill="FFFFFF"/>
          </w:tcPr>
          <w:p>
            <w:pPr>
              <w:spacing w:after="100" w:before="100"/>
            </w:pPr>
            <w:r>
              <w:rPr>
                <w:b w:val="false"/>
                <w:bCs w:val="false"/>
                <w:color w:val="000000"/>
              </w:rPr>
              <w:t xml:space="preserve">Energy (cognitive, social, institutional) required to sustain patterns</w:t>
            </w:r>
          </w:p>
        </w:tc>
        <w:tc>
          <w:tcPr>
            <w:tcW w:type="pct" w:w="33.333333333333336%"/>
            <w:shd w:fill="FFFFFF"/>
          </w:tcPr>
          <w:p>
            <w:pPr>
              <w:spacing w:after="100" w:before="100"/>
            </w:pPr>
            <w:r>
              <w:rPr>
                <w:b w:val="false"/>
                <w:bCs w:val="false"/>
                <w:color w:val="000000"/>
              </w:rPr>
              <w:t xml:space="preserve">Reveals the distribution of the coordination burden</w:t>
            </w:r>
          </w:p>
        </w:tc>
      </w:tr>
      <w:tr>
        <w:tc>
          <w:tcPr>
            <w:tcW w:type="pct" w:w="33.333333333333336%"/>
            <w:shd w:fill="F9F9F9"/>
          </w:tcPr>
          <w:p>
            <w:pPr>
              <w:spacing w:after="100" w:before="100"/>
            </w:pPr>
            <w:r>
              <w:rPr>
                <w:b w:val="false"/>
                <w:bCs w:val="false"/>
                <w:color w:val="000000"/>
              </w:rPr>
              <w:t xml:space="preserve">**Trade-off**</w:t>
            </w:r>
          </w:p>
        </w:tc>
        <w:tc>
          <w:tcPr>
            <w:tcW w:type="pct" w:w="33.333333333333336%"/>
            <w:shd w:fill="F9F9F9"/>
          </w:tcPr>
          <w:p>
            <w:pPr>
              <w:spacing w:after="100" w:before="100"/>
            </w:pPr>
            <w:r>
              <w:rPr>
                <w:b w:val="false"/>
                <w:bCs w:val="false"/>
                <w:color w:val="000000"/>
              </w:rPr>
              <w:t xml:space="preserve">Choice that strengthens one capacity while weakening another</w:t>
            </w:r>
          </w:p>
        </w:tc>
        <w:tc>
          <w:tcPr>
            <w:tcW w:type="pct" w:w="33.333333333333336%"/>
            <w:shd w:fill="F9F9F9"/>
          </w:tcPr>
          <w:p>
            <w:pPr>
              <w:spacing w:after="100" w:before="100"/>
            </w:pPr>
            <w:r>
              <w:rPr>
                <w:b w:val="false"/>
                <w:bCs w:val="false"/>
                <w:color w:val="000000"/>
              </w:rPr>
              <w:t xml:space="preserve">Identifies the opportunity cost of the system's design</w:t>
            </w:r>
          </w:p>
        </w:tc>
      </w:tr>
      <w:tr>
        <w:tc>
          <w:tcPr>
            <w:tcW w:type="pct" w:w="33.333333333333336%"/>
            <w:shd w:fill="FFFFFF"/>
          </w:tcPr>
          <w:p>
            <w:pPr>
              <w:spacing w:after="100" w:before="100"/>
            </w:pPr>
            <w:r>
              <w:rPr>
                <w:b w:val="false"/>
                <w:bCs w:val="false"/>
                <w:color w:val="000000"/>
              </w:rPr>
              <w:t xml:space="preserve">**Manifestation**</w:t>
            </w:r>
          </w:p>
        </w:tc>
        <w:tc>
          <w:tcPr>
            <w:tcW w:type="pct" w:w="33.333333333333336%"/>
            <w:shd w:fill="FFFFFF"/>
          </w:tcPr>
          <w:p>
            <w:pPr>
              <w:spacing w:after="100" w:before="100"/>
            </w:pPr>
            <w:r>
              <w:rPr>
                <w:b w:val="false"/>
                <w:bCs w:val="false"/>
                <w:color w:val="000000"/>
              </w:rPr>
              <w:t xml:space="preserve">Visible cultural output (surface, middle, deep layers)</w:t>
            </w:r>
          </w:p>
        </w:tc>
        <w:tc>
          <w:tcPr>
            <w:tcW w:type="pct" w:w="33.333333333333336%"/>
            <w:shd w:fill="FFFFFF"/>
          </w:tcPr>
          <w:p>
            <w:pPr>
              <w:spacing w:after="100" w:before="100"/>
            </w:pPr>
            <w:r>
              <w:rPr>
                <w:b w:val="false"/>
                <w:bCs w:val="false"/>
                <w:color w:val="000000"/>
              </w:rPr>
              <w:t xml:space="preserve">Diagnostic signal pointing to underlying assumptions</w:t>
            </w:r>
          </w:p>
        </w:tc>
      </w:tr>
      <w:tr>
        <w:tc>
          <w:tcPr>
            <w:tcW w:type="pct" w:w="33.333333333333336%"/>
            <w:shd w:fill="F9F9F9"/>
          </w:tcPr>
          <w:p>
            <w:pPr>
              <w:spacing w:after="100" w:before="100"/>
            </w:pPr>
            <w:r>
              <w:rPr>
                <w:b w:val="false"/>
                <w:bCs w:val="false"/>
                <w:color w:val="000000"/>
              </w:rPr>
              <w:t xml:space="preserve">**Functional Specificity**</w:t>
            </w:r>
          </w:p>
        </w:tc>
        <w:tc>
          <w:tcPr>
            <w:tcW w:type="pct" w:w="33.333333333333336%"/>
            <w:shd w:fill="F9F9F9"/>
          </w:tcPr>
          <w:p>
            <w:pPr>
              <w:spacing w:after="100" w:before="100"/>
            </w:pPr>
            <w:r>
              <w:rPr>
                <w:b w:val="false"/>
                <w:bCs w:val="false"/>
                <w:color w:val="000000"/>
              </w:rPr>
              <w:t xml:space="preserve">Matching intervention to the specific function under stress</w:t>
            </w:r>
          </w:p>
        </w:tc>
        <w:tc>
          <w:tcPr>
            <w:tcW w:type="pct" w:w="33.333333333333336%"/>
            <w:shd w:fill="F9F9F9"/>
          </w:tcPr>
          <w:p>
            <w:pPr>
              <w:spacing w:after="100" w:before="100"/>
            </w:pPr>
            <w:r>
              <w:rPr>
                <w:b w:val="false"/>
                <w:bCs w:val="false"/>
                <w:color w:val="000000"/>
              </w:rPr>
              <w:t xml:space="preserve">Prevents generic, ineffective "cultural sensitivity" solutions</w:t>
            </w:r>
          </w:p>
        </w:tc>
      </w:tr>
    </w:tbl>
    <w:p>
      <w:pPr>
        <w:spacing w:after="100" w:before="100"/>
      </w:pPr>
      <w:r>
        <w:t xml:space="preserve">---</w:t>
      </w:r>
    </w:p>
    <w:p>
      <w:pPr>
        <w:pStyle w:val="Heading2"/>
        <w:spacing w:after="100" w:before="200"/>
      </w:pPr>
      <w:r>
        <w:t xml:space="preserve">Chapter 2 Summary</w:t>
      </w:r>
    </w:p>
    <w:p>
      <w:pPr>
        <w:spacing w:after="100" w:before="100"/>
      </w:pPr>
      <w:r>
        <w:t xml:space="preserve">Chapter 2 moved from definition to operation—from understanding what culture *is* (Chapter 1) to examining what culture *does*.</w:t>
      </w:r>
    </w:p>
    <w:p>
      <w:pPr>
        <w:pStyle w:val="ListParagraph"/>
        <w:numPr>
          <w:ilvl w:val="0"/>
          <w:numId w:val="1"/>
        </w:numPr>
        <w:spacing w:after="60" w:before="60"/>
      </w:pPr>
      <w:r>
        <w:rPr>
          <w:b/>
          <w:bCs/>
        </w:rPr>
        <w:t xml:space="preserve">Section 2.1</w:t>
      </w:r>
      <w:r>
        <w:t xml:space="preserve"> identified the seven core coordination functions that culture stabilizes: expectation alignment, role predictability, legitimacy production, trust calibration, meaning-action connection, conflict channeling, and continuity transmission. These functions enable collective life under uncertainty and scale.</w:t>
      </w:r>
    </w:p>
    <w:p>
      <w:pPr>
        <w:pStyle w:val="ListParagraph"/>
        <w:numPr>
          <w:ilvl w:val="0"/>
          <w:numId w:val="1"/>
        </w:numPr>
        <w:spacing w:after="60" w:before="60"/>
      </w:pPr>
      <w:r>
        <w:rPr>
          <w:b/>
          <w:bCs/>
        </w:rPr>
        <w:t xml:space="preserve">Section 2.2</w:t>
      </w:r>
      <w:r>
        <w:t xml:space="preserve"> analyzed how failure makes culture visible across eight failure modes (e.g., agreement without action, trust replaced by surveillance).</w:t>
      </w:r>
    </w:p>
    <w:p>
      <w:pPr>
        <w:pStyle w:val="ListParagraph"/>
        <w:numPr>
          <w:ilvl w:val="0"/>
          <w:numId w:val="1"/>
        </w:numPr>
        <w:spacing w:after="60" w:before="60"/>
      </w:pPr>
      <w:r>
        <w:rPr>
          <w:b/>
          <w:bCs/>
        </w:rPr>
        <w:t xml:space="preserve">Section 2.3</w:t>
      </w:r>
      <w:r>
        <w:t xml:space="preserve"> established the three types of maintenance cost—cognitive, social, and institutional. It demonstrated that these costs are never equally distributed, generating asymmetric burdens that explain patterns of hidden resistance. It also outlined the five forms of agency through which actors operate within these structures: navigation, interpretation, coalition-building, institutional entrepreneurship, and strategic non-compliance.</w:t>
      </w:r>
    </w:p>
    <w:p>
      <w:pPr>
        <w:pStyle w:val="ListParagraph"/>
        <w:numPr>
          <w:ilvl w:val="0"/>
          <w:numId w:val="1"/>
        </w:numPr>
        <w:spacing w:after="60" w:before="60"/>
      </w:pPr>
      <w:r>
        <w:rPr>
          <w:b/>
          <w:bCs/>
        </w:rPr>
        <w:t xml:space="preserve">Section 2.4</w:t>
      </w:r>
      <w:r>
        <w:t xml:space="preserve"> detailed why no culture can optimize everything, mapping six fundamental trade-offs (e.g., speed vs. consensus). These choices are rational adaptations to specific constraint environments, making it analytically impossible to position any single cultural configuration as universally superior.</w:t>
      </w:r>
    </w:p>
    <w:p>
      <w:pPr>
        <w:pStyle w:val="ListParagraph"/>
        <w:numPr>
          <w:ilvl w:val="0"/>
          <w:numId w:val="1"/>
        </w:numPr>
        <w:spacing w:after="60" w:before="60"/>
      </w:pPr>
      <w:r>
        <w:rPr>
          <w:b/>
          <w:bCs/>
        </w:rPr>
        <w:t xml:space="preserve">Section 2.5</w:t>
      </w:r>
      <w:r>
        <w:t xml:space="preserve"> mapped manifestations across three layers of depth—surface, middle, and deep assumptions—clarifying that visible behaviors are signals to be read diagnostically, not essences to be catalogued.</w:t>
      </w:r>
    </w:p>
    <w:p>
      <w:pPr>
        <w:pStyle w:val="ListParagraph"/>
        <w:numPr>
          <w:ilvl w:val="0"/>
          <w:numId w:val="1"/>
        </w:numPr>
        <w:spacing w:after="60" w:before="60"/>
      </w:pPr>
      <w:r>
        <w:rPr>
          <w:b/>
          <w:bCs/>
        </w:rPr>
        <w:t xml:space="preserve">Section 2.6</w:t>
      </w:r>
      <w:r>
        <w:t xml:space="preserve"> synthesized this operational framework into five diagnostic questions and a RAG-ready concept summary, establishing the principle of functional specificity in cross-cultural intervention.</w:t>
      </w:r>
    </w:p>
    <w:p>
      <w:pPr>
        <w:spacing w:after="100" w:before="100"/>
      </w:pPr>
      <w:r>
        <w:t xml:space="preserve">---</w:t>
      </w:r>
    </w:p>
    <w:p>
      <w:pPr>
        <w:pStyle w:val="Heading2"/>
        <w:spacing w:after="100" w:before="200"/>
      </w:pPr>
      <w:r>
        <w:t xml:space="preserve">References</w:t>
      </w:r>
    </w:p>
    <w:p>
      <w:pPr>
        <w:pStyle w:val="Heading3"/>
        <w:spacing w:after="80" w:before="160"/>
      </w:pPr>
      <w:r>
        <w:t xml:space="preserve">Foundational Cultural and Organizational Frameworks</w:t>
      </w:r>
    </w:p>
    <w:p>
      <w:pPr>
        <w:pStyle w:val="ListParagraph"/>
        <w:numPr>
          <w:ilvl w:val="0"/>
          <w:numId w:val="1"/>
        </w:numPr>
        <w:spacing w:after="60" w:before="60"/>
      </w:pPr>
      <w:r>
        <w:rPr>
          <w:b/>
          <w:bCs/>
        </w:rPr>
        <w:t xml:space="preserve">Argyris, C., &amp; Schön, D. A. (1978).</w:t>
      </w:r>
      <w:r>
        <w:t xml:space="preserve"> *Organizational learning: A theory of action perspective.* Addison-Wesley.</w:t>
      </w:r>
    </w:p>
    <w:p>
      <w:pPr>
        <w:pStyle w:val="ListParagraph"/>
        <w:numPr>
          <w:ilvl w:val="0"/>
          <w:numId w:val="1"/>
        </w:numPr>
        <w:spacing w:after="60" w:before="60"/>
      </w:pPr>
      <w:r>
        <w:rPr>
          <w:b/>
          <w:bCs/>
        </w:rPr>
        <w:t xml:space="preserve">Douglas, M. (1986).</w:t>
      </w:r>
      <w:r>
        <w:t xml:space="preserve"> *How institutions think.* Syracuse University Press.</w:t>
      </w:r>
    </w:p>
    <w:p>
      <w:pPr>
        <w:pStyle w:val="ListParagraph"/>
        <w:numPr>
          <w:ilvl w:val="0"/>
          <w:numId w:val="1"/>
        </w:numPr>
        <w:spacing w:after="60" w:before="60"/>
      </w:pPr>
      <w:r>
        <w:rPr>
          <w:b/>
          <w:bCs/>
        </w:rPr>
        <w:t xml:space="preserve">Fukuyama, F. (1995).</w:t>
      </w:r>
      <w:r>
        <w:t xml:space="preserve"> *Trust: The social virtues and the creation of prosperity.* Free Press.</w:t>
      </w:r>
    </w:p>
    <w:p>
      <w:pPr>
        <w:pStyle w:val="ListParagraph"/>
        <w:numPr>
          <w:ilvl w:val="0"/>
          <w:numId w:val="1"/>
        </w:numPr>
        <w:spacing w:after="60" w:before="60"/>
      </w:pPr>
      <w:r>
        <w:rPr>
          <w:b/>
          <w:bCs/>
        </w:rPr>
        <w:t xml:space="preserve">Nisbett, R. E. (2003).</w:t>
      </w:r>
      <w:r>
        <w:t xml:space="preserve"> *The geography of thought: How Asians and Westerners think differently — and why.* Free Press.</w:t>
      </w:r>
    </w:p>
    <w:p>
      <w:pPr>
        <w:pStyle w:val="ListParagraph"/>
        <w:numPr>
          <w:ilvl w:val="0"/>
          <w:numId w:val="1"/>
        </w:numPr>
        <w:spacing w:after="60" w:before="60"/>
      </w:pPr>
      <w:r>
        <w:rPr>
          <w:b/>
          <w:bCs/>
        </w:rPr>
        <w:t xml:space="preserve">Schein, E. H. (2010).</w:t>
      </w:r>
      <w:r>
        <w:t xml:space="preserve"> *Organizational culture and leadership* (4th ed.). Jossey-Bass.</w:t>
      </w:r>
    </w:p>
    <w:p>
      <w:pPr>
        <w:pStyle w:val="ListParagraph"/>
        <w:numPr>
          <w:ilvl w:val="0"/>
          <w:numId w:val="1"/>
        </w:numPr>
        <w:spacing w:after="60" w:before="60"/>
      </w:pPr>
      <w:r>
        <w:rPr>
          <w:b/>
          <w:bCs/>
        </w:rPr>
        <w:t xml:space="preserve">Sztompka, P. (1999).</w:t>
      </w:r>
      <w:r>
        <w:t xml:space="preserve"> *Trust: A sociological theory.* Cambridge University Press.</w:t>
      </w:r>
    </w:p>
    <w:p>
      <w:pPr>
        <w:pStyle w:val="ListParagraph"/>
        <w:numPr>
          <w:ilvl w:val="0"/>
          <w:numId w:val="1"/>
        </w:numPr>
        <w:spacing w:after="60" w:before="60"/>
      </w:pPr>
      <w:r>
        <w:rPr>
          <w:b/>
          <w:bCs/>
        </w:rPr>
        <w:t xml:space="preserve">Weber, M. (1978).</w:t>
      </w:r>
      <w:r>
        <w:t xml:space="preserve"> *Economy and society: An outline of interpretive sociology.* University of California Press. (Original work published 1922)</w:t>
      </w:r>
    </w:p>
    <w:p>
      <w:pPr>
        <w:pStyle w:val="Heading3"/>
        <w:spacing w:after="80" w:before="160"/>
      </w:pPr>
      <w:r>
        <w:t xml:space="preserve">Coordination, Transaction Costs, and Institutional Economics</w:t>
      </w:r>
    </w:p>
    <w:p>
      <w:pPr>
        <w:pStyle w:val="ListParagraph"/>
        <w:numPr>
          <w:ilvl w:val="0"/>
          <w:numId w:val="1"/>
        </w:numPr>
        <w:spacing w:after="60" w:before="60"/>
      </w:pPr>
      <w:r>
        <w:rPr>
          <w:b/>
          <w:bCs/>
        </w:rPr>
        <w:t xml:space="preserve">Coase, R. H. (1937).</w:t>
      </w:r>
      <w:r>
        <w:t xml:space="preserve"> The nature of the firm. *Economica*, 4(16), 386–405.</w:t>
      </w:r>
    </w:p>
    <w:p>
      <w:pPr>
        <w:pStyle w:val="ListParagraph"/>
        <w:numPr>
          <w:ilvl w:val="0"/>
          <w:numId w:val="1"/>
        </w:numPr>
        <w:spacing w:after="60" w:before="60"/>
      </w:pPr>
      <w:r>
        <w:rPr>
          <w:b/>
          <w:bCs/>
        </w:rPr>
        <w:t xml:space="preserve">North, D. C. (1990).</w:t>
      </w:r>
      <w:r>
        <w:t xml:space="preserve"> *Institutions, institutional change and economic performance.* Cambridge University Press.</w:t>
      </w:r>
    </w:p>
    <w:p>
      <w:pPr>
        <w:pStyle w:val="ListParagraph"/>
        <w:numPr>
          <w:ilvl w:val="0"/>
          <w:numId w:val="1"/>
        </w:numPr>
        <w:spacing w:after="60" w:before="60"/>
      </w:pPr>
      <w:r>
        <w:rPr>
          <w:b/>
          <w:bCs/>
        </w:rPr>
        <w:t xml:space="preserve">Williamson, O. E. (1985).</w:t>
      </w:r>
      <w:r>
        <w:t xml:space="preserve"> *The economic institutions of capitalism.* Free Press.</w:t>
      </w:r>
    </w:p>
    <w:p>
      <w:pPr>
        <w:pStyle w:val="Heading3"/>
        <w:spacing w:after="80" w:before="160"/>
      </w:pPr>
      <w:r>
        <w:t xml:space="preserve">Systems Complexity and Societal Dynamics</w:t>
      </w:r>
    </w:p>
    <w:p>
      <w:pPr>
        <w:pStyle w:val="ListParagraph"/>
        <w:numPr>
          <w:ilvl w:val="0"/>
          <w:numId w:val="1"/>
        </w:numPr>
        <w:spacing w:after="60" w:before="60"/>
      </w:pPr>
      <w:r>
        <w:rPr>
          <w:b/>
          <w:bCs/>
        </w:rPr>
        <w:t xml:space="preserve">Meadows, D. H. (2008).</w:t>
      </w:r>
      <w:r>
        <w:t xml:space="preserve"> *Thinking in systems: A primer.* Chelsea Green Publishing.</w:t>
      </w:r>
    </w:p>
    <w:p>
      <w:pPr>
        <w:pStyle w:val="ListParagraph"/>
        <w:numPr>
          <w:ilvl w:val="0"/>
          <w:numId w:val="1"/>
        </w:numPr>
        <w:spacing w:after="60" w:before="60"/>
      </w:pPr>
      <w:r>
        <w:rPr>
          <w:b/>
          <w:bCs/>
        </w:rPr>
        <w:t xml:space="preserve">Tainter, J. A. (1988).</w:t>
      </w:r>
      <w:r>
        <w:t xml:space="preserve"> *The collapse of complex societies.* Cambridge University Press.</w:t>
      </w:r>
    </w:p>
    <w:p>
      <w:pPr>
        <w:pStyle w:val="Heading3"/>
        <w:spacing w:after="80" w:before="160"/>
      </w:pPr>
      <w:r>
        <w:t xml:space="preserve">Power, Legitimacy, and Social Reproduction</w:t>
      </w:r>
    </w:p>
    <w:p>
      <w:pPr>
        <w:pStyle w:val="ListParagraph"/>
        <w:numPr>
          <w:ilvl w:val="0"/>
          <w:numId w:val="1"/>
        </w:numPr>
        <w:spacing w:after="60" w:before="60"/>
      </w:pPr>
      <w:r>
        <w:rPr>
          <w:b/>
          <w:bCs/>
        </w:rPr>
        <w:t xml:space="preserve">Bourdieu, P. (1977).</w:t>
      </w:r>
      <w:r>
        <w:t xml:space="preserve"> *Outline of a theory of practice.* Cambridge University Press.</w:t>
      </w:r>
    </w:p>
    <w:p>
      <w:pPr>
        <w:pStyle w:val="ListParagraph"/>
        <w:numPr>
          <w:ilvl w:val="0"/>
          <w:numId w:val="1"/>
        </w:numPr>
        <w:spacing w:after="60" w:before="60"/>
      </w:pPr>
      <w:r>
        <w:rPr>
          <w:b/>
          <w:bCs/>
        </w:rPr>
        <w:t xml:space="preserve">Gramsci, A. (1971).</w:t>
      </w:r>
      <w:r>
        <w:t xml:space="preserve"> *Selections from the prison notebooks.* International Publishers.</w:t>
      </w:r>
    </w:p>
    <w:p>
      <w:pPr>
        <w:pStyle w:val="ListParagraph"/>
        <w:numPr>
          <w:ilvl w:val="0"/>
          <w:numId w:val="1"/>
        </w:numPr>
        <w:spacing w:after="60" w:before="60"/>
      </w:pPr>
      <w:r>
        <w:rPr>
          <w:b/>
          <w:bCs/>
        </w:rPr>
        <w:t xml:space="preserve">Scott, J. C. (1990).</w:t>
      </w:r>
      <w:r>
        <w:t xml:space="preserve"> *Domination and the arts of resistance: Hidden transcripts.* Yale University Press.</w:t>
      </w:r>
    </w:p>
    <w:p>
      <w:pPr>
        <w:pStyle w:val="ListParagraph"/>
        <w:numPr>
          <w:ilvl w:val="0"/>
          <w:numId w:val="1"/>
        </w:numPr>
        <w:spacing w:after="60" w:before="60"/>
      </w:pPr>
      <w:r>
        <w:rPr>
          <w:b/>
          <w:bCs/>
        </w:rPr>
        <w:t xml:space="preserve">Scott, W. R. (2001).</w:t>
      </w:r>
      <w:r>
        <w:t xml:space="preserve"> *Institutions and organizations: Ideas and interests* (2nd ed.). Sage.</w:t>
      </w:r>
    </w:p>
    <w:p>
      <w:pPr>
        <w:spacing w:after="100" w:before="100"/>
      </w:pPr>
      <w:r>
        <w:t xml:space="preserve">---</w:t>
      </w:r>
    </w:p>
    <w:p>
      <w:pPr>
        <w:pStyle w:val="Heading2"/>
        <w:spacing w:after="100" w:before="200"/>
      </w:pPr>
      <w:r>
        <w:t xml:space="preserve">Further Reading</w:t>
      </w:r>
    </w:p>
    <w:p>
      <w:pPr>
        <w:pStyle w:val="Heading3"/>
        <w:spacing w:after="80" w:before="160"/>
      </w:pPr>
      <w:r>
        <w:t xml:space="preserve">On Coordination Functions and Institutional Economics</w:t>
      </w:r>
    </w:p>
    <w:p>
      <w:pPr>
        <w:pStyle w:val="ListParagraph"/>
        <w:numPr>
          <w:ilvl w:val="0"/>
          <w:numId w:val="1"/>
        </w:numPr>
        <w:spacing w:after="60" w:before="60"/>
      </w:pPr>
      <w:r>
        <w:rPr>
          <w:b/>
          <w:bCs/>
        </w:rPr>
        <w:t xml:space="preserve">Coase, R. H. (1937).</w:t>
      </w:r>
      <w:r>
        <w:t xml:space="preserve"> The nature of the firm. *Economica*, 4(16), 386–405. — Explains how organizations exist to reduce transaction costs, establishing the economic logic underlying the CaS coordination analysis.</w:t>
      </w:r>
    </w:p>
    <w:p>
      <w:pPr>
        <w:pStyle w:val="ListParagraph"/>
        <w:numPr>
          <w:ilvl w:val="0"/>
          <w:numId w:val="1"/>
        </w:numPr>
        <w:spacing w:after="60" w:before="60"/>
      </w:pPr>
      <w:r>
        <w:rPr>
          <w:b/>
          <w:bCs/>
        </w:rPr>
        <w:t xml:space="preserve">Williamson, O. E. (1985).</w:t>
      </w:r>
      <w:r>
        <w:t xml:space="preserve"> *The economic institutions of capitalism.* Free Press. — Develops a full theory of governance structures, relevant to why different systems choose different coordination mechanisms under varying constraints.</w:t>
      </w:r>
    </w:p>
    <w:p>
      <w:pPr>
        <w:pStyle w:val="ListParagraph"/>
        <w:numPr>
          <w:ilvl w:val="0"/>
          <w:numId w:val="1"/>
        </w:numPr>
        <w:spacing w:after="60" w:before="60"/>
      </w:pPr>
      <w:r>
        <w:rPr>
          <w:b/>
          <w:bCs/>
        </w:rPr>
        <w:t xml:space="preserve">North, D. C. (1990).</w:t>
      </w:r>
      <w:r>
        <w:t xml:space="preserve"> *Institutions, institutional change and economic performance.* Cambridge University Press. — Explains why coordination patterns persist even when formal institutions change.</w:t>
      </w:r>
    </w:p>
    <w:p>
      <w:pPr>
        <w:pStyle w:val="Heading3"/>
        <w:spacing w:after="80" w:before="160"/>
      </w:pPr>
      <w:r>
        <w:t xml:space="preserve">On Failure, Complexity, and Collapse</w:t>
      </w:r>
    </w:p>
    <w:p>
      <w:pPr>
        <w:pStyle w:val="ListParagraph"/>
        <w:numPr>
          <w:ilvl w:val="0"/>
          <w:numId w:val="1"/>
        </w:numPr>
        <w:spacing w:after="60" w:before="60"/>
      </w:pPr>
      <w:r>
        <w:rPr>
          <w:b/>
          <w:bCs/>
        </w:rPr>
        <w:t xml:space="preserve">Tainter, J. A. (1988).</w:t>
      </w:r>
      <w:r>
        <w:t xml:space="preserve"> *The collapse of complex societies.* Cambridge University Press. — Source for the diminishing marginal utility of complexity, providing a framework for maintenance cost overload.</w:t>
      </w:r>
    </w:p>
    <w:p>
      <w:pPr>
        <w:pStyle w:val="ListParagraph"/>
        <w:numPr>
          <w:ilvl w:val="0"/>
          <w:numId w:val="1"/>
        </w:numPr>
        <w:spacing w:after="60" w:before="60"/>
      </w:pPr>
      <w:r>
        <w:rPr>
          <w:b/>
          <w:bCs/>
        </w:rPr>
        <w:t xml:space="preserve">Perrow, C. (1984).</w:t>
      </w:r>
      <w:r>
        <w:t xml:space="preserve"> *Normal accidents: Living with high-risk technologies.* Basic Books. — Argues that complex systems produce failures as normal rather than exceptional outcomes.</w:t>
      </w:r>
    </w:p>
    <w:p>
      <w:pPr>
        <w:pStyle w:val="Heading3"/>
        <w:spacing w:after="80" w:before="160"/>
      </w:pPr>
      <w:r>
        <w:t xml:space="preserve">On Legitimacy, Power, and Social Reproduction</w:t>
      </w:r>
    </w:p>
    <w:p>
      <w:pPr>
        <w:pStyle w:val="ListParagraph"/>
        <w:numPr>
          <w:ilvl w:val="0"/>
          <w:numId w:val="1"/>
        </w:numPr>
        <w:spacing w:after="60" w:before="60"/>
      </w:pPr>
      <w:r>
        <w:rPr>
          <w:b/>
          <w:bCs/>
        </w:rPr>
        <w:t xml:space="preserve">Gramsci, A. (1971).</w:t>
      </w:r>
      <w:r>
        <w:t xml:space="preserve"> *Selections from the prison notebooks.* International Publishers. — Explains how dominant groups make their coordination preferences feel like universal common sense.</w:t>
      </w:r>
    </w:p>
    <w:p>
      <w:pPr>
        <w:pStyle w:val="ListParagraph"/>
        <w:numPr>
          <w:ilvl w:val="0"/>
          <w:numId w:val="1"/>
        </w:numPr>
        <w:spacing w:after="60" w:before="60"/>
      </w:pPr>
      <w:r>
        <w:rPr>
          <w:b/>
          <w:bCs/>
        </w:rPr>
        <w:t xml:space="preserve">Scott, J. C. (1990).</w:t>
      </w:r>
      <w:r>
        <w:t xml:space="preserve"> *Domination and the arts of resistance: Hidden transcripts.* Yale University Press. — Documents the hidden agency subordinate groups use within dominant systems.</w:t>
      </w:r>
    </w:p>
    <w:p>
      <w:pPr>
        <w:pStyle w:val="Heading3"/>
        <w:spacing w:after="80" w:before="160"/>
      </w:pPr>
      <w:r>
        <w:t xml:space="preserve">On Trust and Social Capital</w:t>
      </w:r>
    </w:p>
    <w:p>
      <w:pPr>
        <w:pStyle w:val="ListParagraph"/>
        <w:numPr>
          <w:ilvl w:val="0"/>
          <w:numId w:val="1"/>
        </w:numPr>
        <w:spacing w:after="60" w:before="60"/>
      </w:pPr>
      <w:r>
        <w:rPr>
          <w:b/>
          <w:bCs/>
        </w:rPr>
        <w:t xml:space="preserve">Fukuyama, F. (1995).</w:t>
      </w:r>
      <w:r>
        <w:t xml:space="preserve"> *Trust: The social virtues and the creation of prosperity.* Free Press. — Examines how different levels of trust across societies produce distinct ekonomic/organizational forms.</w:t>
      </w:r>
    </w:p>
    <w:p>
      <w:pPr>
        <w:pStyle w:val="ListParagraph"/>
        <w:numPr>
          <w:ilvl w:val="0"/>
          <w:numId w:val="1"/>
        </w:numPr>
        <w:spacing w:after="60" w:before="60"/>
      </w:pPr>
      <w:r>
        <w:rPr>
          <w:b/>
          <w:bCs/>
        </w:rPr>
        <w:t xml:space="preserve">Sztompka, P. (1999).</w:t>
      </w:r>
      <w:r>
        <w:t xml:space="preserve"> *Trust: A sociological theory.* Cambridge University Press. — Rigorous sociological treatment of trust as a systemic rather than interpersonal phenomenon.</w:t>
      </w:r>
    </w:p>
    <w:p>
      <w:pPr>
        <w:pStyle w:val="Heading3"/>
        <w:spacing w:after="80" w:before="160"/>
      </w:pPr>
      <w:r>
        <w:t xml:space="preserve">On Organizational Culture and Learning</w:t>
      </w:r>
    </w:p>
    <w:p>
      <w:pPr>
        <w:pStyle w:val="ListParagraph"/>
        <w:numPr>
          <w:ilvl w:val="0"/>
          <w:numId w:val="1"/>
        </w:numPr>
        <w:spacing w:after="60" w:before="60"/>
      </w:pPr>
      <w:r>
        <w:rPr>
          <w:b/>
          <w:bCs/>
        </w:rPr>
        <w:t xml:space="preserve">Schein, E. H. (2010).</w:t>
      </w:r>
      <w:r>
        <w:t xml:space="preserve"> *Organizational culture and leadership* (4th ed.). Jossey-Bass. — Three-level model (artifacts, values, assumptions) is the parallel to the CaS three-layer manifestation framework.</w:t>
      </w:r>
    </w:p>
    <w:p>
      <w:pPr>
        <w:pStyle w:val="ListParagraph"/>
        <w:numPr>
          <w:ilvl w:val="0"/>
          <w:numId w:val="1"/>
        </w:numPr>
        <w:spacing w:after="60" w:before="60"/>
      </w:pPr>
      <w:r>
        <w:rPr>
          <w:b/>
          <w:bCs/>
        </w:rPr>
        <w:t xml:space="preserve">Argyris, C., &amp; Schön, D. A. (1978).</w:t>
      </w:r>
      <w:r>
        <w:t xml:space="preserve"> *Organizational learning: A theory of action perspective.* Addison-Wesley. — Defines single-loop vs. double-loop learning, clarifying how meaning connects to action.</w:t>
      </w:r>
    </w:p>
    <w:p>
      <w:pPr>
        <w:pStyle w:val="Heading3"/>
        <w:spacing w:after="80" w:before="160"/>
      </w:pPr>
      <w:r>
        <w:t xml:space="preserve">On Agency Within Structures</w:t>
      </w:r>
    </w:p>
    <w:p>
      <w:pPr>
        <w:pStyle w:val="ListParagraph"/>
        <w:numPr>
          <w:ilvl w:val="0"/>
          <w:numId w:val="1"/>
        </w:numPr>
        <w:spacing w:after="60" w:before="60"/>
      </w:pPr>
      <w:r>
        <w:rPr>
          <w:b/>
          <w:bCs/>
        </w:rPr>
        <w:t xml:space="preserve">Giddens, A. (1984).</w:t>
      </w:r>
      <w:r>
        <w:t xml:space="preserve"> *The constitution of society: Outline of the theory of structuration.* Polity Press. — Explains how structures are both constraining and enabling, and how agency operates through rather than against structure.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2026-07-13T15:51:48.396Z</dcterms:created>
  <dcterms:modified xsi:type="dcterms:W3CDTF">2026-07-13T15:51:48.397Z</dcterms:modified>
</cp:coreProperties>
</file>

<file path=docProps/custom.xml><?xml version="1.0" encoding="utf-8"?>
<Properties xmlns="http://schemas.openxmlformats.org/officeDocument/2006/custom-properties" xmlns:vt="http://schemas.openxmlformats.org/officeDocument/2006/docPropsVTypes"/>
</file>